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4C" w:rsidRPr="00F43A57" w:rsidRDefault="003D1A4C" w:rsidP="0005332C">
      <w:pPr>
        <w:spacing w:after="0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</w:p>
    <w:p w:rsidR="003D1A4C" w:rsidRPr="00F43A57" w:rsidRDefault="003D1A4C" w:rsidP="0005332C">
      <w:pPr>
        <w:pStyle w:val="Heading2"/>
        <w:spacing w:after="0" w:line="276" w:lineRule="auto"/>
        <w:ind w:left="31" w:right="5"/>
        <w:rPr>
          <w:rFonts w:ascii="Times New Roman" w:hAnsi="Times New Roman"/>
          <w:sz w:val="24"/>
          <w:szCs w:val="24"/>
          <w:lang w:val="sq-AL"/>
        </w:rPr>
      </w:pPr>
      <w:r w:rsidRPr="00F43A57">
        <w:rPr>
          <w:rFonts w:ascii="Times New Roman" w:hAnsi="Times New Roman"/>
          <w:sz w:val="24"/>
          <w:szCs w:val="24"/>
          <w:lang w:val="sq-AL"/>
        </w:rPr>
        <w:t xml:space="preserve">STANDARDET  </w:t>
      </w:r>
    </w:p>
    <w:p w:rsidR="003D1A4C" w:rsidRPr="00F43A57" w:rsidRDefault="003D1A4C" w:rsidP="0005332C">
      <w:pPr>
        <w:spacing w:after="0"/>
        <w:jc w:val="center"/>
        <w:rPr>
          <w:rFonts w:ascii="Times New Roman" w:hAnsi="Times New Roman"/>
          <w:sz w:val="24"/>
          <w:szCs w:val="24"/>
          <w:lang w:val="sq-AL"/>
        </w:rPr>
      </w:pPr>
      <w:r w:rsidRPr="00F43A57">
        <w:rPr>
          <w:rFonts w:ascii="Times New Roman" w:hAnsi="Times New Roman"/>
          <w:b/>
          <w:sz w:val="24"/>
          <w:szCs w:val="24"/>
          <w:lang w:val="sq-AL"/>
        </w:rPr>
        <w:t xml:space="preserve">E </w:t>
      </w:r>
      <w:r w:rsidR="006A726B">
        <w:rPr>
          <w:rFonts w:ascii="Times New Roman" w:hAnsi="Times New Roman"/>
          <w:b/>
          <w:sz w:val="24"/>
          <w:szCs w:val="24"/>
          <w:lang w:val="sq-AL"/>
        </w:rPr>
        <w:t>SHËRBIMEVE TË KUJDESIT SHOQËROR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 xml:space="preserve"> NË QENDRAT KOMUNITARE SHUMËDISIPLINORE</w:t>
      </w:r>
    </w:p>
    <w:p w:rsidR="003D1A4C" w:rsidRPr="00F43A57" w:rsidRDefault="003D1A4C" w:rsidP="0005332C">
      <w:pPr>
        <w:spacing w:after="0"/>
        <w:ind w:left="742"/>
        <w:rPr>
          <w:rFonts w:ascii="Times New Roman" w:hAnsi="Times New Roman"/>
          <w:sz w:val="24"/>
          <w:szCs w:val="24"/>
          <w:lang w:val="sq-AL"/>
        </w:rPr>
      </w:pPr>
    </w:p>
    <w:p w:rsidR="003D1A4C" w:rsidRPr="00F43A57" w:rsidRDefault="003D1A4C" w:rsidP="0005332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F43A57">
        <w:rPr>
          <w:rFonts w:ascii="Times New Roman" w:eastAsia="Times New Roman" w:hAnsi="Times New Roman"/>
          <w:b/>
          <w:sz w:val="24"/>
          <w:szCs w:val="24"/>
          <w:lang w:val="sq-AL"/>
        </w:rPr>
        <w:t>Hyrje</w:t>
      </w:r>
    </w:p>
    <w:p w:rsidR="003D1A4C" w:rsidRPr="00F43A57" w:rsidRDefault="003D1A4C" w:rsidP="000533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3D1A4C" w:rsidRDefault="003D1A4C" w:rsidP="000533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43A57">
        <w:rPr>
          <w:rFonts w:ascii="Times New Roman" w:eastAsia="Times New Roman" w:hAnsi="Times New Roman"/>
          <w:sz w:val="24"/>
          <w:szCs w:val="24"/>
          <w:lang w:val="sq-AL"/>
        </w:rPr>
        <w:t>Ligji nr. 121/2016 “Për shërbimet e kujdesit shoqëror në Republikën e Shqipërisë” ka theksuar rëndësinë e shërbimeve komunitare për të përmbushur nevojat e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43A57">
        <w:rPr>
          <w:rFonts w:ascii="Times New Roman" w:eastAsia="Times New Roman" w:hAnsi="Times New Roman"/>
          <w:sz w:val="24"/>
          <w:szCs w:val="24"/>
          <w:lang w:val="sq-AL"/>
        </w:rPr>
        <w:t xml:space="preserve">anëtarëve të komunitetit,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me karakteristika të veҁanta, që i bën ata më vulnerabël në raport me qytetarët e tjerë. </w:t>
      </w:r>
      <w:r w:rsidRPr="00F43A57">
        <w:rPr>
          <w:rFonts w:ascii="Times New Roman" w:eastAsia="Times New Roman" w:hAnsi="Times New Roman"/>
          <w:sz w:val="24"/>
          <w:szCs w:val="24"/>
          <w:lang w:val="sq-AL"/>
        </w:rPr>
        <w:t>Për këtë qëllim synohet ngritja e një modeli të rregulluar për funksionimin e Qendrave Komunitare Shumëdisiplinore (QKSHD). Modeli i QKSHD, për të adresuar sa më mirë nevojat e identifikuara të komunitetit vendor, është hartuar me tiparet e shërbimeve fleksibël, të rëndësishme dhe të pranueshme nga vetë komuniteti vendor ku</w:t>
      </w:r>
      <w:r w:rsidR="00220E0D">
        <w:rPr>
          <w:rFonts w:ascii="Times New Roman" w:eastAsia="Times New Roman" w:hAnsi="Times New Roman"/>
          <w:sz w:val="24"/>
          <w:szCs w:val="24"/>
          <w:lang w:val="sq-AL"/>
        </w:rPr>
        <w:t xml:space="preserve"> do të zbatohet. Ngritja e një M</w:t>
      </w:r>
      <w:r w:rsidRPr="00F43A57">
        <w:rPr>
          <w:rFonts w:ascii="Times New Roman" w:eastAsia="Times New Roman" w:hAnsi="Times New Roman"/>
          <w:sz w:val="24"/>
          <w:szCs w:val="24"/>
          <w:lang w:val="sq-AL"/>
        </w:rPr>
        <w:t>odeli të tillë i shërben ofrimit të shërbimeve të kujdesit shoqëror në mënyrë uniforme, në zbatim të dispozitave specifike të ligjit nr. 121/2016, por duke respektuar edhe kuadrin ligjor që lidhet me të drejtat dhe mbrojtjen e fëmijëve.</w:t>
      </w:r>
    </w:p>
    <w:p w:rsidR="003D1A4C" w:rsidRDefault="003D1A4C" w:rsidP="000533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3D1A4C" w:rsidRPr="00F43A57" w:rsidRDefault="003D1A4C" w:rsidP="0005332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Për të siguruar efektivitetin e </w:t>
      </w:r>
      <w:r w:rsidRPr="00F43A57">
        <w:rPr>
          <w:rFonts w:ascii="Times New Roman" w:eastAsia="Times New Roman" w:hAnsi="Times New Roman"/>
          <w:sz w:val="24"/>
          <w:szCs w:val="24"/>
          <w:lang w:val="sq-AL"/>
        </w:rPr>
        <w:t>Q</w:t>
      </w:r>
      <w:r>
        <w:rPr>
          <w:rFonts w:ascii="Times New Roman" w:eastAsia="Times New Roman" w:hAnsi="Times New Roman"/>
          <w:sz w:val="24"/>
          <w:szCs w:val="24"/>
          <w:lang w:val="sq-AL"/>
        </w:rPr>
        <w:t>endra</w:t>
      </w:r>
      <w:r w:rsidR="00220E0D">
        <w:rPr>
          <w:rFonts w:ascii="Times New Roman" w:eastAsia="Times New Roman" w:hAnsi="Times New Roman"/>
          <w:sz w:val="24"/>
          <w:szCs w:val="24"/>
          <w:lang w:val="sq-AL"/>
        </w:rPr>
        <w:t>ve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43A57">
        <w:rPr>
          <w:rFonts w:ascii="Times New Roman" w:eastAsia="Times New Roman" w:hAnsi="Times New Roman"/>
          <w:sz w:val="24"/>
          <w:szCs w:val="24"/>
          <w:lang w:val="sq-AL"/>
        </w:rPr>
        <w:t>K</w:t>
      </w:r>
      <w:r>
        <w:rPr>
          <w:rFonts w:ascii="Times New Roman" w:eastAsia="Times New Roman" w:hAnsi="Times New Roman"/>
          <w:sz w:val="24"/>
          <w:szCs w:val="24"/>
          <w:lang w:val="sq-AL"/>
        </w:rPr>
        <w:t>omunitare Shumëdisiplinore (QKSHD)</w:t>
      </w:r>
      <w:r w:rsidR="00B23F02">
        <w:rPr>
          <w:rFonts w:ascii="Times New Roman" w:eastAsia="Times New Roman" w:hAnsi="Times New Roman"/>
          <w:sz w:val="24"/>
          <w:szCs w:val="24"/>
          <w:lang w:val="sq-AL"/>
        </w:rPr>
        <w:t>,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43A57">
        <w:rPr>
          <w:rFonts w:ascii="Times New Roman" w:eastAsia="Times New Roman" w:hAnsi="Times New Roman"/>
          <w:sz w:val="24"/>
          <w:szCs w:val="24"/>
          <w:lang w:val="sq-AL"/>
        </w:rPr>
        <w:t xml:space="preserve">është e nevojshme miratimi i Standardeve të Shërbimit të Kujdesit Shoqëror, të hartuara nga Ministria e </w:t>
      </w:r>
      <w:r>
        <w:rPr>
          <w:rFonts w:ascii="Times New Roman" w:eastAsia="Times New Roman" w:hAnsi="Times New Roman"/>
          <w:sz w:val="24"/>
          <w:szCs w:val="24"/>
          <w:lang w:val="sq-AL"/>
        </w:rPr>
        <w:t>Shëndetësisë dhe e Mbrojtjes Sociale</w:t>
      </w:r>
      <w:r w:rsidRPr="00F43A57">
        <w:rPr>
          <w:rFonts w:ascii="Times New Roman" w:eastAsia="Times New Roman" w:hAnsi="Times New Roman"/>
          <w:sz w:val="24"/>
          <w:szCs w:val="24"/>
          <w:lang w:val="sq-AL"/>
        </w:rPr>
        <w:t>.  Standardet janë hartuar duke u mbështetur tek Modeli i  Funksionimit të Qendrave Komunitare Shumëdisiplinore dhe janë mjeti, me të cilin sigurohet vlerësimi i zbatimit të Modelit. Këto standarde janë të përdorshme edhe nga vetë QKSHD për të matur progresin n</w:t>
      </w:r>
      <w:r w:rsidRPr="00F43A57">
        <w:rPr>
          <w:rFonts w:ascii="Times New Roman" w:hAnsi="Times New Roman"/>
          <w:sz w:val="24"/>
          <w:szCs w:val="24"/>
          <w:lang w:val="sq-AL"/>
        </w:rPr>
        <w:t>ë raport me përputhshmërinë me Modelin e Qendrave. Në këtë mënyrë, Modeli i QKSHD dhe standardet e shërbimit përbëjnë mjetin e duhur në duart e organeve të qeverisjes vendore, të vetë Qendrave, por edhe të mekanizmave monitorues të brendshëm apo të jashtëm, për të realizuar qëllimin e ligjit nr. 121/2016: “</w:t>
      </w:r>
      <w:r w:rsidRPr="00F43A57">
        <w:rPr>
          <w:rFonts w:ascii="Times New Roman" w:hAnsi="Times New Roman"/>
          <w:i/>
          <w:sz w:val="24"/>
          <w:szCs w:val="24"/>
          <w:lang w:val="sq-AL"/>
        </w:rPr>
        <w:t>dhënien ndihmë në mirëqenien dhe përfshirjen shoqërore të individëve e të familjeve që kanë nevojë për kujdes shoqëror</w:t>
      </w:r>
      <w:r w:rsidRPr="00F43A57">
        <w:rPr>
          <w:rFonts w:ascii="Times New Roman" w:hAnsi="Times New Roman"/>
          <w:sz w:val="24"/>
          <w:szCs w:val="24"/>
          <w:lang w:val="sq-AL"/>
        </w:rPr>
        <w:t>”, madje për aq sa është e mundur edhe krijimin e praktikave të mira uniforme.</w:t>
      </w:r>
    </w:p>
    <w:p w:rsidR="003D1A4C" w:rsidRPr="00F43A57" w:rsidRDefault="003D1A4C" w:rsidP="0005332C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:rsidR="003D1A4C" w:rsidRPr="00F43A57" w:rsidRDefault="003D1A4C" w:rsidP="0005332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43A57">
        <w:rPr>
          <w:rFonts w:ascii="Times New Roman" w:hAnsi="Times New Roman"/>
          <w:sz w:val="24"/>
          <w:szCs w:val="24"/>
          <w:lang w:val="sq-AL"/>
        </w:rPr>
        <w:t xml:space="preserve">Standardet janë një instrument i rëndësishëm i matjes së cilësisë së shërbimit sepse ato përcaktojnë një nivel të ofrimit të shërbimit. Standardet ndihmojnë dhe në procesin e identifikimit të pengesave gjatë zbatimit të tyre, si edhe në identifikimin e nevojave për burime shtesë. Në këtë rast, ky informacion përdoret edhe për të ngritur një çështje apo advokuar për të pasur më shumë burime në dispozicion. </w:t>
      </w:r>
    </w:p>
    <w:p w:rsidR="003D1A4C" w:rsidRDefault="003D1A4C" w:rsidP="0005332C">
      <w:pPr>
        <w:spacing w:after="0"/>
        <w:ind w:left="7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3D1A4C" w:rsidRPr="00F43A57" w:rsidRDefault="003D1A4C" w:rsidP="0005332C">
      <w:pPr>
        <w:spacing w:after="0"/>
        <w:ind w:left="7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Pr="00F43A57">
        <w:rPr>
          <w:rFonts w:ascii="Times New Roman" w:hAnsi="Times New Roman"/>
          <w:sz w:val="24"/>
          <w:szCs w:val="24"/>
          <w:lang w:val="sq-AL"/>
        </w:rPr>
        <w:t>tandardet e shërbimeve të kujdesit shoqëror</w:t>
      </w:r>
      <w:r>
        <w:rPr>
          <w:rFonts w:ascii="Times New Roman" w:hAnsi="Times New Roman"/>
          <w:sz w:val="24"/>
          <w:szCs w:val="24"/>
          <w:lang w:val="sq-AL"/>
        </w:rPr>
        <w:t xml:space="preserve"> frymëzohen nga </w:t>
      </w:r>
      <w:r w:rsidRPr="00F43A57">
        <w:rPr>
          <w:rFonts w:ascii="Times New Roman" w:hAnsi="Times New Roman"/>
          <w:sz w:val="24"/>
          <w:szCs w:val="24"/>
          <w:lang w:val="sq-AL"/>
        </w:rPr>
        <w:t>parimet themelore q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rshkojn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kujdesin shoq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ror, siҁ jan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: parimi i interesit më të lartë të fëmijës; parimi i garantimit të vlerave dhe personalitetit të individit; universaliteti; barazia e mundësive; e drejta për të përfituar; partneriteti; transparenca dhe paanshmëria; mosdiskriminimi; decentralizimi; pavarësia; integrimi shoqëror dhe pjesëmarrja në jetën e komunitetit.  </w:t>
      </w:r>
    </w:p>
    <w:p w:rsidR="003D1A4C" w:rsidRDefault="003D1A4C" w:rsidP="000533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3D1A4C" w:rsidRDefault="003D1A4C" w:rsidP="000533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Standardet e miratuara me këtë udhëzim zbatohen gjatë ofrimit të shërbimeve të kujdesit shoqëror për disa kategori përfituesish:</w:t>
      </w:r>
    </w:p>
    <w:p w:rsidR="003D1A4C" w:rsidRDefault="003D1A4C" w:rsidP="0005332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Ҁdo fëmijë dhe familjet e tyre, duke përfshirë edhe të miturit në konflikt me ligjin;</w:t>
      </w:r>
    </w:p>
    <w:p w:rsidR="003D1A4C" w:rsidRDefault="003D1A4C" w:rsidP="0005332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Të rriturit me probleme sociale për shkak të rikthimit nga emigrimi;</w:t>
      </w:r>
    </w:p>
    <w:p w:rsidR="003D1A4C" w:rsidRDefault="003D1A4C" w:rsidP="0005332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lastRenderedPageBreak/>
        <w:t>Të rriturit, me probleme sociale që i përkasin grupeve vulnerabël si romë dhe egjiptianë;</w:t>
      </w:r>
    </w:p>
    <w:p w:rsidR="003D1A4C" w:rsidRDefault="003D1A4C" w:rsidP="0005332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Të rriturit me probleme sociale për shkak të varfërisë, të cilët janë përfitues të ndihmës ekonomike;</w:t>
      </w:r>
    </w:p>
    <w:p w:rsidR="003D1A4C" w:rsidRDefault="003D1A4C" w:rsidP="0005332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Viktimat e dhunës dhe të trafikimit.</w:t>
      </w:r>
    </w:p>
    <w:p w:rsidR="003D1A4C" w:rsidRDefault="003D1A4C" w:rsidP="0005332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D1A4C" w:rsidRPr="008702A5" w:rsidRDefault="003D1A4C" w:rsidP="0005332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Këta përfitues bëjnë pjesë në grupet shoqërore të përcaktuara në nenin 6 pika 1 shkronjat a), c) dhe d) të ligjit </w:t>
      </w:r>
      <w:r w:rsidRPr="003A3557">
        <w:rPr>
          <w:rFonts w:ascii="Times New Roman" w:hAnsi="Times New Roman"/>
          <w:sz w:val="24"/>
          <w:szCs w:val="24"/>
          <w:lang w:val="sq-AL"/>
        </w:rPr>
        <w:t>nr. 121/2016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3D1A4C" w:rsidRDefault="003D1A4C" w:rsidP="0005332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D1A4C" w:rsidRDefault="003D1A4C" w:rsidP="0005332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Këto standarde duhet të përmbushen gjatë ofrimit të shërbimeve parashoqërore dhe të shërbimeve në qendrat komunitare, përfshirë qendrat e zhvillimit. Këto dy lloje të shërbimeve shoqërore përcaktohen nga neni 8 pika 2 shkronjat a) dhe b) të ligjit nr. 121/2016.</w:t>
      </w:r>
    </w:p>
    <w:p w:rsidR="003D1A4C" w:rsidRDefault="003D1A4C" w:rsidP="0005332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D1A4C" w:rsidRPr="00F43A57" w:rsidRDefault="003D1A4C" w:rsidP="0005332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43A57">
        <w:rPr>
          <w:rFonts w:ascii="Times New Roman" w:hAnsi="Times New Roman"/>
          <w:sz w:val="24"/>
          <w:szCs w:val="24"/>
          <w:lang w:val="sq-AL"/>
        </w:rPr>
        <w:t xml:space="preserve">Një pjesë e standardeve është zbërthyer në një numër kriteresh, që së bashku kontribuojnë në plotësimin e standardit në tërësi. Për shkak të lidhjes së drejtpërdrejtë të standardit me nivelin e cilësisë së shërbimit është e rëndësishme përcaktimi i treguesve, të cilët lejojnë matjen e klasifikuar </w:t>
      </w:r>
      <w:r w:rsidR="00220E0D">
        <w:rPr>
          <w:rFonts w:ascii="Times New Roman" w:hAnsi="Times New Roman"/>
          <w:sz w:val="24"/>
          <w:szCs w:val="24"/>
          <w:lang w:val="sq-AL"/>
        </w:rPr>
        <w:t>t</w:t>
      </w:r>
      <w:r w:rsidR="00220E0D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zbatimit të tij, si i plotësuar, pjesërisht i plotësuar ose i paplotësuar. Një standard vlerësohet i plotësuar vetëm në rastin kur të gjitha kriteret përbërëse të tij janë plotësuar. </w:t>
      </w:r>
    </w:p>
    <w:p w:rsidR="003D1A4C" w:rsidRPr="00F43A57" w:rsidRDefault="003D1A4C" w:rsidP="0005332C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:rsidR="003D1A4C" w:rsidRPr="00F43A57" w:rsidRDefault="003D1A4C" w:rsidP="0005332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43A57">
        <w:rPr>
          <w:rFonts w:ascii="Times New Roman" w:hAnsi="Times New Roman"/>
          <w:sz w:val="24"/>
          <w:szCs w:val="24"/>
          <w:lang w:val="sq-AL"/>
        </w:rPr>
        <w:t>Janë 6 standarde të ndërlidhura dhe që përforcojnë njëri-tjetrin në realizimin e shërbimeve të kujdesit shoqëror në QKSHD. Një prej tyre është i ndarë në nënstandarde, por kjo ndarje nuk është tregues për rëndësinë e standardit, pasi të gjitha standardet janë njësoj të rëndësishme. Nënstandardet tregojnë se një standard i caktuar është kompleks në përbërjen e tij. Këto 6 standarde janë si më poshtë:</w:t>
      </w:r>
    </w:p>
    <w:p w:rsidR="003D1A4C" w:rsidRPr="00E97E55" w:rsidRDefault="003D1A4C" w:rsidP="0005332C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:rsidR="003D1A4C" w:rsidRPr="00E97E55" w:rsidRDefault="003D1A4C" w:rsidP="0005332C">
      <w:pPr>
        <w:pStyle w:val="Normal1"/>
        <w:spacing w:line="276" w:lineRule="auto"/>
      </w:pPr>
      <w:r w:rsidRPr="00E97E55">
        <w:t>Standardi 1:</w:t>
      </w:r>
      <w:r w:rsidRPr="00E97E55">
        <w:tab/>
        <w:t>QKSHD ka burime të mjaftueshme për të vepruar efektivisht dhe në një mënyrë që është e përshtatshme dhe në përputhje me modelin e QKSHD.</w:t>
      </w:r>
    </w:p>
    <w:p w:rsidR="003D1A4C" w:rsidRPr="00E97E55" w:rsidRDefault="003D1A4C" w:rsidP="0005332C">
      <w:pPr>
        <w:pStyle w:val="Normal1"/>
        <w:spacing w:line="276" w:lineRule="auto"/>
      </w:pPr>
    </w:p>
    <w:p w:rsidR="003D1A4C" w:rsidRPr="00E97E55" w:rsidRDefault="003D1A4C" w:rsidP="0005332C">
      <w:pPr>
        <w:pStyle w:val="Normal1"/>
        <w:spacing w:line="276" w:lineRule="auto"/>
      </w:pPr>
      <w:r w:rsidRPr="00E97E55">
        <w:t xml:space="preserve">Standardi 2: </w:t>
      </w:r>
      <w:r w:rsidRPr="00E97E55">
        <w:tab/>
        <w:t>QKSHD punon në mënyrë proaktive dhe përfshin komunitetin në mënyrë që të sigurojë shërbime të përshtatshme dhe që kanë rëndësi për komunitetin.</w:t>
      </w:r>
    </w:p>
    <w:p w:rsidR="003D1A4C" w:rsidRPr="00E97E55" w:rsidRDefault="003D1A4C" w:rsidP="0005332C">
      <w:pPr>
        <w:pStyle w:val="Normal1"/>
        <w:spacing w:line="276" w:lineRule="auto"/>
      </w:pPr>
    </w:p>
    <w:p w:rsidR="003D1A4C" w:rsidRPr="00E97E55" w:rsidRDefault="003D1A4C" w:rsidP="0005332C">
      <w:pPr>
        <w:pStyle w:val="Normal1"/>
        <w:spacing w:line="276" w:lineRule="auto"/>
      </w:pPr>
      <w:r w:rsidRPr="00E97E55">
        <w:t xml:space="preserve">Standardi 3: </w:t>
      </w:r>
      <w:r w:rsidRPr="00E97E55">
        <w:tab/>
        <w:t>QKSHD funksionon në mënyrë shumëdisiplinore dhe ndërsektoriale.</w:t>
      </w:r>
    </w:p>
    <w:p w:rsidR="003D1A4C" w:rsidRPr="00E97E55" w:rsidRDefault="003D1A4C" w:rsidP="0005332C">
      <w:pPr>
        <w:pStyle w:val="Normal1"/>
        <w:spacing w:line="276" w:lineRule="auto"/>
      </w:pPr>
      <w:r w:rsidRPr="00E97E55">
        <w:t xml:space="preserve"> </w:t>
      </w:r>
    </w:p>
    <w:p w:rsidR="003D1A4C" w:rsidRPr="00E97E55" w:rsidRDefault="003D1A4C" w:rsidP="0005332C">
      <w:pPr>
        <w:pStyle w:val="Normal1"/>
        <w:spacing w:line="276" w:lineRule="auto"/>
      </w:pPr>
      <w:r w:rsidRPr="00E97E55">
        <w:t xml:space="preserve">Standardi  4: </w:t>
      </w:r>
      <w:r w:rsidRPr="00E97E55">
        <w:tab/>
        <w:t xml:space="preserve">Për rastet individuale, QKSHD aplikon “qasjen e menaxhimit të rastit” për t’u siguruar që mbështetja është e gjithanshme, e plotë dhe e përshtatshme. </w:t>
      </w:r>
    </w:p>
    <w:p w:rsidR="003D1A4C" w:rsidRPr="00E97E55" w:rsidRDefault="003D1A4C" w:rsidP="0005332C">
      <w:pPr>
        <w:pStyle w:val="Normal1"/>
        <w:spacing w:line="276" w:lineRule="auto"/>
      </w:pPr>
    </w:p>
    <w:p w:rsidR="003D1A4C" w:rsidRPr="00E97E55" w:rsidRDefault="003D1A4C" w:rsidP="0005332C">
      <w:pPr>
        <w:pStyle w:val="Normal1"/>
        <w:spacing w:line="276" w:lineRule="auto"/>
      </w:pPr>
      <w:r w:rsidRPr="00E97E55">
        <w:t>Standardi 5:</w:t>
      </w:r>
      <w:r w:rsidRPr="00E97E55">
        <w:tab/>
        <w:t>QKSHD është proaktive dhe e aksesueshme në mënyrën si vepron dhe si i ofron shërbimet.</w:t>
      </w:r>
    </w:p>
    <w:p w:rsidR="003D1A4C" w:rsidRPr="00E97E55" w:rsidRDefault="003D1A4C" w:rsidP="0005332C">
      <w:pPr>
        <w:pStyle w:val="Normal1"/>
        <w:spacing w:line="276" w:lineRule="auto"/>
      </w:pPr>
    </w:p>
    <w:p w:rsidR="003D1A4C" w:rsidRPr="00E97E55" w:rsidRDefault="003D1A4C" w:rsidP="0005332C">
      <w:pPr>
        <w:pStyle w:val="Normal1"/>
        <w:spacing w:line="276" w:lineRule="auto"/>
      </w:pPr>
      <w:r w:rsidRPr="00E97E55">
        <w:t xml:space="preserve">Standardi 6: </w:t>
      </w:r>
      <w:r w:rsidRPr="00E97E55">
        <w:tab/>
        <w:t>QKSHD ofron një gamë shërbimesh që janë të përshtatshme, të duhura dhe të sigurta.</w:t>
      </w:r>
    </w:p>
    <w:p w:rsidR="003D1A4C" w:rsidRPr="00E97E55" w:rsidRDefault="003D1A4C" w:rsidP="0005332C">
      <w:pPr>
        <w:pStyle w:val="Normal1"/>
        <w:spacing w:line="276" w:lineRule="auto"/>
      </w:pPr>
    </w:p>
    <w:p w:rsidR="003D1A4C" w:rsidRDefault="003D1A4C" w:rsidP="0005332C">
      <w:pPr>
        <w:pStyle w:val="Normal1"/>
        <w:spacing w:line="276" w:lineRule="auto"/>
      </w:pPr>
      <w:r w:rsidRPr="00E97E55">
        <w:t>Këto 6 standarde lidhen me krijimin dhe funksionimin e QKSHD. Në rastet kur ofrohen shërbime specifike – për shembull qendër ditore për fëmijët – mund të jetë e nevojshme të konsiderohen standarde shtesë për punën e QKSHD.</w:t>
      </w:r>
    </w:p>
    <w:p w:rsidR="0005332C" w:rsidRDefault="0005332C" w:rsidP="0005332C">
      <w:pPr>
        <w:pStyle w:val="Normal1"/>
        <w:spacing w:line="276" w:lineRule="auto"/>
      </w:pP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color w:val="212121"/>
          <w:bdr w:val="none" w:sz="0" w:space="0" w:color="auto" w:frame="1"/>
        </w:rPr>
        <w:lastRenderedPageBreak/>
        <w:t>Dokumenti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standardeve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kujdesit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shoqëror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qendrat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komunitare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shumëdisiplinore</w:t>
      </w:r>
      <w:proofErr w:type="spellEnd"/>
      <w:r>
        <w:rPr>
          <w:color w:val="212121"/>
          <w:bdr w:val="none" w:sz="0" w:space="0" w:color="auto" w:frame="1"/>
        </w:rPr>
        <w:t xml:space="preserve"> do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ndihmojë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radhë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parë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vetë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përfituesit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familjarët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tyre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për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kuptuar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kërkuar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zbatimin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standardeve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nga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ofruesit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>.</w:t>
      </w: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  <w:bdr w:val="none" w:sz="0" w:space="0" w:color="auto" w:frame="1"/>
        </w:rPr>
        <w:t> </w:t>
      </w: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color w:val="212121"/>
          <w:bdr w:val="none" w:sz="0" w:space="0" w:color="auto" w:frame="1"/>
        </w:rPr>
        <w:t>Standardet</w:t>
      </w:r>
      <w:proofErr w:type="spellEnd"/>
      <w:r>
        <w:rPr>
          <w:color w:val="212121"/>
          <w:bdr w:val="none" w:sz="0" w:space="0" w:color="auto" w:frame="1"/>
        </w:rPr>
        <w:t xml:space="preserve"> do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shërbejnë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udhëzues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praktik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konkret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për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ofruesit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për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organizuar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përmirësuar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shërbimet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sipas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kërkesave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dokumentit</w:t>
      </w:r>
      <w:proofErr w:type="spellEnd"/>
      <w:r>
        <w:rPr>
          <w:color w:val="212121"/>
          <w:bdr w:val="none" w:sz="0" w:space="0" w:color="auto" w:frame="1"/>
        </w:rPr>
        <w:t>.</w:t>
      </w: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  <w:bdr w:val="none" w:sz="0" w:space="0" w:color="auto" w:frame="1"/>
        </w:rPr>
        <w:t> </w:t>
      </w: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color w:val="212121"/>
          <w:bdr w:val="none" w:sz="0" w:space="0" w:color="auto" w:frame="1"/>
        </w:rPr>
        <w:t>Standardet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sanksionojnë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që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ofrimi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këtij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shërbimi</w:t>
      </w:r>
      <w:proofErr w:type="spellEnd"/>
      <w:r>
        <w:rPr>
          <w:color w:val="212121"/>
          <w:bdr w:val="none" w:sz="0" w:space="0" w:color="auto" w:frame="1"/>
        </w:rPr>
        <w:t xml:space="preserve"> do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realizohet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vetëm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nga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figura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profesionale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certifikuara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punonjës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socialë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psikologë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infermierë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etj</w:t>
      </w:r>
      <w:proofErr w:type="spellEnd"/>
      <w:r>
        <w:rPr>
          <w:color w:val="212121"/>
          <w:bdr w:val="none" w:sz="0" w:space="0" w:color="auto" w:frame="1"/>
        </w:rPr>
        <w:t>.</w:t>
      </w: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  <w:bdr w:val="none" w:sz="0" w:space="0" w:color="auto" w:frame="1"/>
        </w:rPr>
        <w:t> </w:t>
      </w: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color w:val="212121"/>
          <w:bdr w:val="none" w:sz="0" w:space="0" w:color="auto" w:frame="1"/>
        </w:rPr>
        <w:t>Nga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pikëpamja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praktike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organizative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menaxheriale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standardet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përgjithshme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kujdesit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shoqëror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qendrat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komunitare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shumëdisiplinore</w:t>
      </w:r>
      <w:proofErr w:type="spellEnd"/>
      <w:r>
        <w:rPr>
          <w:color w:val="212121"/>
          <w:bdr w:val="none" w:sz="0" w:space="0" w:color="auto" w:frame="1"/>
        </w:rPr>
        <w:t xml:space="preserve"> do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jenë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unifikuara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për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gjitha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strukturat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shoqërore</w:t>
      </w:r>
      <w:proofErr w:type="spellEnd"/>
      <w:r>
        <w:rPr>
          <w:color w:val="212121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> </w:t>
      </w:r>
      <w:proofErr w:type="spellStart"/>
      <w:r>
        <w:rPr>
          <w:color w:val="212121"/>
          <w:bdr w:val="none" w:sz="0" w:space="0" w:color="auto" w:frame="1"/>
        </w:rPr>
        <w:t>njësive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qeverisjes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vendore</w:t>
      </w:r>
      <w:proofErr w:type="spellEnd"/>
      <w:r>
        <w:rPr>
          <w:color w:val="212121"/>
          <w:bdr w:val="none" w:sz="0" w:space="0" w:color="auto" w:frame="1"/>
        </w:rPr>
        <w:t xml:space="preserve">, duke </w:t>
      </w:r>
      <w:proofErr w:type="spellStart"/>
      <w:r>
        <w:rPr>
          <w:color w:val="212121"/>
          <w:bdr w:val="none" w:sz="0" w:space="0" w:color="auto" w:frame="1"/>
        </w:rPr>
        <w:t>filluar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nga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identifikimi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vlerësimi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nevojave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hartimi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planeve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sociale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vendore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programimi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buxheteve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vendore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planifikimi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shportës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bazë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shoqërore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kontraktimi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ofruesve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bashkërendimi</w:t>
      </w:r>
      <w:proofErr w:type="spellEnd"/>
      <w:r>
        <w:rPr>
          <w:color w:val="212121"/>
          <w:bdr w:val="none" w:sz="0" w:space="0" w:color="auto" w:frame="1"/>
        </w:rPr>
        <w:t xml:space="preserve"> me </w:t>
      </w:r>
      <w:proofErr w:type="spellStart"/>
      <w:r>
        <w:rPr>
          <w:color w:val="212121"/>
          <w:bdr w:val="none" w:sz="0" w:space="0" w:color="auto" w:frame="1"/>
        </w:rPr>
        <w:t>Shërbimin</w:t>
      </w:r>
      <w:proofErr w:type="spellEnd"/>
      <w:r>
        <w:rPr>
          <w:color w:val="212121"/>
          <w:bdr w:val="none" w:sz="0" w:space="0" w:color="auto" w:frame="1"/>
        </w:rPr>
        <w:t xml:space="preserve"> Social </w:t>
      </w:r>
      <w:proofErr w:type="spellStart"/>
      <w:r>
        <w:rPr>
          <w:color w:val="212121"/>
          <w:bdr w:val="none" w:sz="0" w:space="0" w:color="auto" w:frame="1"/>
        </w:rPr>
        <w:t>Shtetëror</w:t>
      </w:r>
      <w:proofErr w:type="spellEnd"/>
      <w:r w:rsidR="0005332C">
        <w:rPr>
          <w:color w:val="212121"/>
          <w:bdr w:val="none" w:sz="0" w:space="0" w:color="auto" w:frame="1"/>
        </w:rPr>
        <w:t>,</w:t>
      </w:r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për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forcimin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>.</w:t>
      </w: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  <w:bdr w:val="none" w:sz="0" w:space="0" w:color="auto" w:frame="1"/>
        </w:rPr>
        <w:t> </w:t>
      </w:r>
    </w:p>
    <w:p w:rsidR="00966110" w:rsidRDefault="00966110" w:rsidP="0005332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color w:val="212121"/>
          <w:bdr w:val="none" w:sz="0" w:space="0" w:color="auto" w:frame="1"/>
        </w:rPr>
        <w:t>Ky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Udhëzues</w:t>
      </w:r>
      <w:proofErr w:type="spellEnd"/>
      <w:r>
        <w:rPr>
          <w:color w:val="212121"/>
          <w:bdr w:val="none" w:sz="0" w:space="0" w:color="auto" w:frame="1"/>
        </w:rPr>
        <w:t xml:space="preserve"> u </w:t>
      </w:r>
      <w:proofErr w:type="spellStart"/>
      <w:r>
        <w:rPr>
          <w:color w:val="212121"/>
          <w:bdr w:val="none" w:sz="0" w:space="0" w:color="auto" w:frame="1"/>
        </w:rPr>
        <w:t>shërben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edhe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aktorëve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tjerë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si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organizatave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joqever</w:t>
      </w:r>
      <w:r w:rsidR="0005332C">
        <w:rPr>
          <w:color w:val="212121"/>
          <w:bdr w:val="none" w:sz="0" w:space="0" w:color="auto" w:frame="1"/>
        </w:rPr>
        <w:t>itare</w:t>
      </w:r>
      <w:proofErr w:type="spellEnd"/>
      <w:r w:rsidR="0005332C">
        <w:rPr>
          <w:color w:val="212121"/>
          <w:bdr w:val="none" w:sz="0" w:space="0" w:color="auto" w:frame="1"/>
        </w:rPr>
        <w:t xml:space="preserve"> </w:t>
      </w:r>
      <w:proofErr w:type="spellStart"/>
      <w:r w:rsidR="0005332C">
        <w:rPr>
          <w:color w:val="212121"/>
          <w:bdr w:val="none" w:sz="0" w:space="0" w:color="auto" w:frame="1"/>
        </w:rPr>
        <w:t>vendase</w:t>
      </w:r>
      <w:proofErr w:type="spellEnd"/>
      <w:r w:rsidR="0005332C">
        <w:rPr>
          <w:color w:val="212121"/>
          <w:bdr w:val="none" w:sz="0" w:space="0" w:color="auto" w:frame="1"/>
        </w:rPr>
        <w:t xml:space="preserve"> </w:t>
      </w:r>
      <w:proofErr w:type="spellStart"/>
      <w:r w:rsidR="0005332C">
        <w:rPr>
          <w:color w:val="212121"/>
          <w:bdr w:val="none" w:sz="0" w:space="0" w:color="auto" w:frame="1"/>
        </w:rPr>
        <w:t>dhe</w:t>
      </w:r>
      <w:proofErr w:type="spellEnd"/>
      <w:r w:rsidR="0005332C">
        <w:rPr>
          <w:color w:val="212121"/>
          <w:bdr w:val="none" w:sz="0" w:space="0" w:color="auto" w:frame="1"/>
        </w:rPr>
        <w:t xml:space="preserve"> </w:t>
      </w:r>
      <w:proofErr w:type="spellStart"/>
      <w:r w:rsidR="0005332C">
        <w:rPr>
          <w:color w:val="212121"/>
          <w:bdr w:val="none" w:sz="0" w:space="0" w:color="auto" w:frame="1"/>
        </w:rPr>
        <w:t>ndërkombëtare</w:t>
      </w:r>
      <w:proofErr w:type="spellEnd"/>
      <w:r w:rsidR="0005332C">
        <w:rPr>
          <w:color w:val="212121"/>
          <w:bdr w:val="none" w:sz="0" w:space="0" w:color="auto" w:frame="1"/>
        </w:rPr>
        <w:t xml:space="preserve"> </w:t>
      </w:r>
      <w:proofErr w:type="spellStart"/>
      <w:r w:rsidR="0005332C">
        <w:rPr>
          <w:color w:val="212121"/>
          <w:bdr w:val="none" w:sz="0" w:space="0" w:color="auto" w:frame="1"/>
        </w:rPr>
        <w:t>si</w:t>
      </w:r>
      <w:proofErr w:type="spellEnd"/>
      <w:r w:rsidR="0005332C">
        <w:rPr>
          <w:color w:val="212121"/>
          <w:bdr w:val="none" w:sz="0" w:space="0" w:color="auto" w:frame="1"/>
        </w:rPr>
        <w:t xml:space="preserve"> </w:t>
      </w:r>
      <w:proofErr w:type="spellStart"/>
      <w:r w:rsidR="0005332C">
        <w:rPr>
          <w:color w:val="212121"/>
          <w:bdr w:val="none" w:sz="0" w:space="0" w:color="auto" w:frame="1"/>
        </w:rPr>
        <w:t>e</w:t>
      </w:r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ofruesve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tjerë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jopublikë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shoqërore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cilët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mund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bashkëpunojnë</w:t>
      </w:r>
      <w:proofErr w:type="spellEnd"/>
      <w:r>
        <w:rPr>
          <w:color w:val="212121"/>
          <w:bdr w:val="none" w:sz="0" w:space="0" w:color="auto" w:frame="1"/>
        </w:rPr>
        <w:t xml:space="preserve"> me </w:t>
      </w:r>
      <w:proofErr w:type="spellStart"/>
      <w:r>
        <w:rPr>
          <w:color w:val="212121"/>
          <w:bdr w:val="none" w:sz="0" w:space="0" w:color="auto" w:frame="1"/>
        </w:rPr>
        <w:t>institucionet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shtetërore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në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përputhje</w:t>
      </w:r>
      <w:proofErr w:type="spellEnd"/>
      <w:r>
        <w:rPr>
          <w:color w:val="212121"/>
          <w:bdr w:val="none" w:sz="0" w:space="0" w:color="auto" w:frame="1"/>
        </w:rPr>
        <w:t xml:space="preserve"> me </w:t>
      </w:r>
      <w:proofErr w:type="spellStart"/>
      <w:r>
        <w:rPr>
          <w:color w:val="212121"/>
          <w:bdr w:val="none" w:sz="0" w:space="0" w:color="auto" w:frame="1"/>
        </w:rPr>
        <w:t>legjislacionin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fuqi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për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ofruar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ndryshme</w:t>
      </w:r>
      <w:proofErr w:type="spellEnd"/>
      <w:r>
        <w:rPr>
          <w:color w:val="212121"/>
          <w:bdr w:val="none" w:sz="0" w:space="0" w:color="auto" w:frame="1"/>
        </w:rPr>
        <w:t xml:space="preserve">, </w:t>
      </w:r>
      <w:proofErr w:type="spellStart"/>
      <w:r>
        <w:rPr>
          <w:color w:val="212121"/>
          <w:bdr w:val="none" w:sz="0" w:space="0" w:color="auto" w:frame="1"/>
        </w:rPr>
        <w:t>përfshirë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ngritjen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dhe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funksionimin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shërbimeve</w:t>
      </w:r>
      <w:proofErr w:type="spellEnd"/>
      <w:r>
        <w:rPr>
          <w:color w:val="212121"/>
          <w:bdr w:val="none" w:sz="0" w:space="0" w:color="auto" w:frame="1"/>
        </w:rPr>
        <w:t xml:space="preserve"> me </w:t>
      </w:r>
      <w:proofErr w:type="spellStart"/>
      <w:r>
        <w:rPr>
          <w:color w:val="212121"/>
          <w:bdr w:val="none" w:sz="0" w:space="0" w:color="auto" w:frame="1"/>
        </w:rPr>
        <w:t>bazë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komunitare</w:t>
      </w:r>
      <w:proofErr w:type="spellEnd"/>
      <w:r>
        <w:rPr>
          <w:color w:val="212121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212121"/>
          <w:bdr w:val="none" w:sz="0" w:space="0" w:color="auto" w:frame="1"/>
        </w:rPr>
        <w:t>Ky</w:t>
      </w:r>
      <w:proofErr w:type="spellEnd"/>
      <w:proofErr w:type="gram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</w:t>
      </w:r>
      <w:proofErr w:type="spellEnd"/>
      <w:r>
        <w:rPr>
          <w:color w:val="212121"/>
          <w:bdr w:val="none" w:sz="0" w:space="0" w:color="auto" w:frame="1"/>
        </w:rPr>
        <w:t xml:space="preserve"> do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ofrohet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prej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tyre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ose</w:t>
      </w:r>
      <w:proofErr w:type="spellEnd"/>
      <w:r>
        <w:rPr>
          <w:color w:val="212121"/>
          <w:bdr w:val="none" w:sz="0" w:space="0" w:color="auto" w:frame="1"/>
        </w:rPr>
        <w:t xml:space="preserve"> do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“</w:t>
      </w:r>
      <w:proofErr w:type="spellStart"/>
      <w:r>
        <w:rPr>
          <w:color w:val="212121"/>
          <w:bdr w:val="none" w:sz="0" w:space="0" w:color="auto" w:frame="1"/>
        </w:rPr>
        <w:t>blihet</w:t>
      </w:r>
      <w:proofErr w:type="spellEnd"/>
      <w:r>
        <w:rPr>
          <w:color w:val="212121"/>
          <w:bdr w:val="none" w:sz="0" w:space="0" w:color="auto" w:frame="1"/>
        </w:rPr>
        <w:t xml:space="preserve">” </w:t>
      </w:r>
      <w:proofErr w:type="spellStart"/>
      <w:r>
        <w:rPr>
          <w:color w:val="212121"/>
          <w:bdr w:val="none" w:sz="0" w:space="0" w:color="auto" w:frame="1"/>
        </w:rPr>
        <w:t>si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jopublik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nga</w:t>
      </w:r>
      <w:proofErr w:type="spellEnd"/>
      <w:r>
        <w:rPr>
          <w:color w:val="212121"/>
          <w:bdr w:val="none" w:sz="0" w:space="0" w:color="auto" w:frame="1"/>
        </w:rPr>
        <w:t xml:space="preserve"> OJF-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ose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njësitë</w:t>
      </w:r>
      <w:proofErr w:type="spellEnd"/>
      <w:r>
        <w:rPr>
          <w:color w:val="212121"/>
          <w:bdr w:val="none" w:sz="0" w:space="0" w:color="auto" w:frame="1"/>
        </w:rPr>
        <w:t xml:space="preserve"> e </w:t>
      </w:r>
      <w:proofErr w:type="spellStart"/>
      <w:r>
        <w:rPr>
          <w:color w:val="212121"/>
          <w:bdr w:val="none" w:sz="0" w:space="0" w:color="auto" w:frame="1"/>
        </w:rPr>
        <w:t>specializuara</w:t>
      </w:r>
      <w:proofErr w:type="spellEnd"/>
      <w:r>
        <w:rPr>
          <w:color w:val="212121"/>
          <w:bdr w:val="none" w:sz="0" w:space="0" w:color="auto" w:frame="1"/>
        </w:rPr>
        <w:t xml:space="preserve"> private </w:t>
      </w:r>
      <w:proofErr w:type="spellStart"/>
      <w:r>
        <w:rPr>
          <w:color w:val="212121"/>
          <w:bdr w:val="none" w:sz="0" w:space="0" w:color="auto" w:frame="1"/>
        </w:rPr>
        <w:t>për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ofruar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këtë</w:t>
      </w:r>
      <w:proofErr w:type="spellEnd"/>
      <w:r>
        <w:rPr>
          <w:color w:val="212121"/>
          <w:bdr w:val="none" w:sz="0" w:space="0" w:color="auto" w:frame="1"/>
        </w:rPr>
        <w:t xml:space="preserve"> </w:t>
      </w:r>
      <w:proofErr w:type="spellStart"/>
      <w:r>
        <w:rPr>
          <w:color w:val="212121"/>
          <w:bdr w:val="none" w:sz="0" w:space="0" w:color="auto" w:frame="1"/>
        </w:rPr>
        <w:t>shërbim</w:t>
      </w:r>
      <w:proofErr w:type="spellEnd"/>
      <w:r>
        <w:rPr>
          <w:color w:val="212121"/>
          <w:bdr w:val="none" w:sz="0" w:space="0" w:color="auto" w:frame="1"/>
        </w:rPr>
        <w:t>.</w:t>
      </w:r>
    </w:p>
    <w:p w:rsidR="00966110" w:rsidRPr="00E97E55" w:rsidRDefault="00966110" w:rsidP="0005332C">
      <w:pPr>
        <w:pStyle w:val="Normal1"/>
      </w:pPr>
    </w:p>
    <w:p w:rsidR="003D1A4C" w:rsidRDefault="003D1A4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  <w:ind w:left="0"/>
        <w:jc w:val="left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05332C" w:rsidRDefault="0005332C" w:rsidP="0005332C">
      <w:pPr>
        <w:pStyle w:val="Normal1"/>
      </w:pPr>
    </w:p>
    <w:p w:rsidR="003D1A4C" w:rsidRPr="00F43A57" w:rsidRDefault="0005332C" w:rsidP="0005332C">
      <w:pPr>
        <w:pStyle w:val="Normal1"/>
      </w:pPr>
      <w:r>
        <w:t>STANDARDET DHE PËRMBAJTJA E TYRE</w:t>
      </w:r>
    </w:p>
    <w:p w:rsidR="003D1A4C" w:rsidRDefault="003D1A4C" w:rsidP="003D1A4C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05332C" w:rsidRPr="00F43A57" w:rsidRDefault="0005332C" w:rsidP="003D1A4C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3D1A4C" w:rsidRPr="00F43A57" w:rsidRDefault="003D1A4C" w:rsidP="003D1A4C">
      <w:pPr>
        <w:pStyle w:val="Heading2"/>
        <w:spacing w:after="0" w:line="240" w:lineRule="auto"/>
        <w:ind w:left="2880" w:hanging="2863"/>
        <w:jc w:val="both"/>
        <w:rPr>
          <w:rFonts w:ascii="Times New Roman" w:hAnsi="Times New Roman"/>
          <w:sz w:val="24"/>
          <w:szCs w:val="24"/>
          <w:lang w:val="sq-AL" w:eastAsia="sl-SI"/>
        </w:rPr>
      </w:pPr>
      <w:r w:rsidRPr="00F43A57">
        <w:rPr>
          <w:rFonts w:ascii="Times New Roman" w:hAnsi="Times New Roman"/>
          <w:sz w:val="24"/>
          <w:szCs w:val="24"/>
          <w:lang w:val="sq-AL"/>
        </w:rPr>
        <w:t xml:space="preserve">STANDARDI 1: </w:t>
      </w:r>
      <w:r w:rsidRPr="00F43A57">
        <w:rPr>
          <w:rFonts w:ascii="Times New Roman" w:hAnsi="Times New Roman"/>
          <w:sz w:val="24"/>
          <w:szCs w:val="24"/>
          <w:lang w:val="sq-AL"/>
        </w:rPr>
        <w:tab/>
      </w:r>
      <w:r w:rsidRPr="00F43A57">
        <w:rPr>
          <w:rFonts w:ascii="Times New Roman" w:hAnsi="Times New Roman"/>
          <w:sz w:val="24"/>
          <w:szCs w:val="24"/>
          <w:lang w:val="sq-AL" w:eastAsia="sl-SI"/>
        </w:rPr>
        <w:t>QKSHD ka burime të mjaftueshme për të vepruar efektivisht dhe në një mënyrë që është e përshtatshme dhe në përputhje me modelin e QKSHD.</w:t>
      </w:r>
    </w:p>
    <w:p w:rsidR="003D1A4C" w:rsidRPr="00F43A57" w:rsidRDefault="003D1A4C" w:rsidP="003D1A4C">
      <w:pPr>
        <w:pStyle w:val="Heading2"/>
        <w:spacing w:after="0" w:line="240" w:lineRule="auto"/>
        <w:ind w:left="17" w:firstLine="0"/>
        <w:jc w:val="both"/>
        <w:rPr>
          <w:rFonts w:ascii="Times New Roman" w:hAnsi="Times New Roman"/>
          <w:sz w:val="24"/>
          <w:szCs w:val="24"/>
          <w:lang w:val="sq-AL" w:eastAsia="sl-SI"/>
        </w:rPr>
      </w:pPr>
    </w:p>
    <w:p w:rsidR="003D1A4C" w:rsidRPr="00F43A57" w:rsidRDefault="003D1A4C" w:rsidP="003D1A4C">
      <w:pPr>
        <w:pStyle w:val="Heading2"/>
        <w:spacing w:after="0" w:line="240" w:lineRule="auto"/>
        <w:ind w:left="2880" w:hanging="2863"/>
        <w:jc w:val="both"/>
        <w:rPr>
          <w:rFonts w:ascii="Times New Roman" w:hAnsi="Times New Roman"/>
          <w:sz w:val="24"/>
          <w:szCs w:val="24"/>
          <w:lang w:val="sq-AL" w:eastAsia="sl-SI"/>
        </w:rPr>
      </w:pPr>
      <w:r w:rsidRPr="00F43A57">
        <w:rPr>
          <w:rFonts w:ascii="Times New Roman" w:hAnsi="Times New Roman"/>
          <w:sz w:val="24"/>
          <w:szCs w:val="24"/>
          <w:lang w:val="sq-AL" w:eastAsia="sl-SI"/>
        </w:rPr>
        <w:t xml:space="preserve">Rezultati i pritshëm: </w:t>
      </w:r>
      <w:r w:rsidRPr="00F43A57">
        <w:rPr>
          <w:rFonts w:ascii="Times New Roman" w:hAnsi="Times New Roman"/>
          <w:sz w:val="24"/>
          <w:szCs w:val="24"/>
          <w:lang w:val="sq-AL" w:eastAsia="sl-SI"/>
        </w:rPr>
        <w:tab/>
        <w:t>Shërbimet</w:t>
      </w:r>
      <w:r w:rsidRPr="00A741A3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parashoqërore dhe shërbimet në qendrat komunitare, përfshirë qendrat e zhvillimit</w:t>
      </w:r>
      <w:r w:rsidRPr="00F43A57">
        <w:rPr>
          <w:rFonts w:ascii="Times New Roman" w:hAnsi="Times New Roman"/>
          <w:sz w:val="24"/>
          <w:szCs w:val="24"/>
          <w:lang w:val="sq-AL" w:eastAsia="sl-SI"/>
        </w:rPr>
        <w:t xml:space="preserve"> e kujdesit shoqëror ofrohen në mënyrë efektive dhe të përshtatshme.</w:t>
      </w:r>
    </w:p>
    <w:p w:rsidR="003D1A4C" w:rsidRDefault="003D1A4C" w:rsidP="003D1A4C">
      <w:pPr>
        <w:rPr>
          <w:rFonts w:ascii="Times New Roman" w:hAnsi="Times New Roman"/>
          <w:lang w:val="sq-AL" w:eastAsia="sl-SI"/>
        </w:rPr>
      </w:pPr>
    </w:p>
    <w:p w:rsidR="003D1A4C" w:rsidRDefault="003D1A4C" w:rsidP="003D1A4C">
      <w:pPr>
        <w:rPr>
          <w:rFonts w:ascii="Times New Roman" w:hAnsi="Times New Roman"/>
          <w:lang w:val="sq-AL" w:eastAsia="sl-SI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759"/>
        <w:gridCol w:w="2188"/>
        <w:gridCol w:w="1962"/>
        <w:gridCol w:w="2037"/>
        <w:gridCol w:w="1792"/>
      </w:tblGrid>
      <w:tr w:rsidR="002F4860" w:rsidRPr="00E97E55" w:rsidTr="00132F0E">
        <w:trPr>
          <w:trHeight w:val="900"/>
        </w:trPr>
        <w:tc>
          <w:tcPr>
            <w:tcW w:w="1759" w:type="dxa"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STANDARDI 1</w:t>
            </w:r>
          </w:p>
        </w:tc>
        <w:tc>
          <w:tcPr>
            <w:tcW w:w="2188" w:type="dxa"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NËNSTANDARDI</w:t>
            </w:r>
          </w:p>
        </w:tc>
        <w:tc>
          <w:tcPr>
            <w:tcW w:w="1962" w:type="dxa"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 xml:space="preserve">KRITERET </w:t>
            </w:r>
          </w:p>
        </w:tc>
        <w:tc>
          <w:tcPr>
            <w:tcW w:w="2037" w:type="dxa"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TREGUESIT E CILËSISË</w:t>
            </w:r>
          </w:p>
        </w:tc>
        <w:tc>
          <w:tcPr>
            <w:tcW w:w="1792" w:type="dxa"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REZULTATI I PRITSHËM</w:t>
            </w:r>
          </w:p>
        </w:tc>
      </w:tr>
      <w:tr w:rsidR="002F4860" w:rsidRPr="00E97E55" w:rsidTr="00132F0E">
        <w:tc>
          <w:tcPr>
            <w:tcW w:w="1759" w:type="dxa"/>
            <w:vMerge w:val="restart"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QKSHD ka burime të mjaftueshme për të vepruar efektivisht dhe në një mënyrë që është e përshtatshme dhe në përputhje me modelin e QKSHD</w:t>
            </w:r>
          </w:p>
        </w:tc>
        <w:tc>
          <w:tcPr>
            <w:tcW w:w="2188" w:type="dxa"/>
            <w:vMerge w:val="restart"/>
            <w:shd w:val="clear" w:color="auto" w:fill="548DD4"/>
          </w:tcPr>
          <w:p w:rsidR="00132F0E" w:rsidRPr="00E97E55" w:rsidRDefault="00132F0E" w:rsidP="001F6A31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1.1 Struktura dhe bashkërendimi</w:t>
            </w:r>
          </w:p>
        </w:tc>
        <w:tc>
          <w:tcPr>
            <w:tcW w:w="1962" w:type="dxa"/>
            <w:shd w:val="clear" w:color="auto" w:fill="8DB3E2"/>
          </w:tcPr>
          <w:p w:rsidR="00132F0E" w:rsidRPr="00E97E55" w:rsidRDefault="00132F0E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Krijimi i një komiteti drejtues me përfaqësues nga agjenci të ndryshme</w:t>
            </w:r>
          </w:p>
        </w:tc>
        <w:tc>
          <w:tcPr>
            <w:tcW w:w="2037" w:type="dxa"/>
            <w:shd w:val="clear" w:color="auto" w:fill="8DB3E2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Lista me emrat e përfaqësuesve dhe të agjencive</w:t>
            </w:r>
          </w:p>
        </w:tc>
        <w:tc>
          <w:tcPr>
            <w:tcW w:w="1792" w:type="dxa"/>
            <w:vMerge w:val="restart"/>
            <w:shd w:val="clear" w:color="auto" w:fill="8DB3E2"/>
          </w:tcPr>
          <w:p w:rsidR="00132F0E" w:rsidRPr="00FE3E46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QKSHD ka nj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struktur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mir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>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>rcaktuar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q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mund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son bashk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rendimin dhe monitorimin e pun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s</w:t>
            </w:r>
          </w:p>
        </w:tc>
      </w:tr>
      <w:tr w:rsidR="002F4860" w:rsidRPr="00E97E55" w:rsidTr="00132F0E">
        <w:tc>
          <w:tcPr>
            <w:tcW w:w="1759" w:type="dxa"/>
            <w:vMerge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sz w:val="24"/>
                <w:szCs w:val="24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132F0E" w:rsidRPr="00E97E55" w:rsidRDefault="00132F0E" w:rsidP="00704242">
            <w:pPr>
              <w:rPr>
                <w:rFonts w:ascii="Times New Roman" w:hAnsi="Times New Roman"/>
                <w:sz w:val="24"/>
                <w:szCs w:val="24"/>
                <w:lang w:val="sq-AL" w:eastAsia="sl-SI"/>
              </w:rPr>
            </w:pPr>
          </w:p>
        </w:tc>
        <w:tc>
          <w:tcPr>
            <w:tcW w:w="1962" w:type="dxa"/>
            <w:shd w:val="clear" w:color="auto" w:fill="C6D9F1"/>
          </w:tcPr>
          <w:p w:rsidR="00132F0E" w:rsidRPr="00E97E55" w:rsidRDefault="00132F0E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Komiteti drejtues mblidhet të paktën një herë në tre muaj </w:t>
            </w:r>
          </w:p>
        </w:tc>
        <w:tc>
          <w:tcPr>
            <w:tcW w:w="2037" w:type="dxa"/>
            <w:shd w:val="clear" w:color="auto" w:fill="C6D9F1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Kalendari i mbledhjeve dhe minutat e takimit të mbledhjeve</w:t>
            </w:r>
          </w:p>
        </w:tc>
        <w:tc>
          <w:tcPr>
            <w:tcW w:w="1792" w:type="dxa"/>
            <w:vMerge/>
            <w:shd w:val="clear" w:color="auto" w:fill="C6D9F1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2F4860" w:rsidRPr="00E97E55" w:rsidTr="00132F0E">
        <w:tc>
          <w:tcPr>
            <w:tcW w:w="1759" w:type="dxa"/>
            <w:vMerge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132F0E" w:rsidRPr="00E97E55" w:rsidRDefault="00132F0E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Komiteti drejtues monitoron punën e QKSHD </w:t>
            </w:r>
          </w:p>
        </w:tc>
        <w:tc>
          <w:tcPr>
            <w:tcW w:w="2037" w:type="dxa"/>
            <w:shd w:val="clear" w:color="auto" w:fill="8DB3E2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Raportet e monitorimit të miratuara në mbledhje nga komiteti drejtues</w:t>
            </w:r>
          </w:p>
        </w:tc>
        <w:tc>
          <w:tcPr>
            <w:tcW w:w="1792" w:type="dxa"/>
            <w:vMerge/>
            <w:shd w:val="clear" w:color="auto" w:fill="8DB3E2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32F0E" w:rsidRPr="00E97E55" w:rsidTr="00132F0E">
        <w:tc>
          <w:tcPr>
            <w:tcW w:w="1759" w:type="dxa"/>
            <w:vMerge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 w:val="restart"/>
            <w:shd w:val="clear" w:color="auto" w:fill="92CDDC"/>
          </w:tcPr>
          <w:p w:rsidR="00132F0E" w:rsidRPr="00E97E55" w:rsidRDefault="00132F0E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1.2 Kushtet fizike dhe ambienti</w:t>
            </w:r>
          </w:p>
        </w:tc>
        <w:tc>
          <w:tcPr>
            <w:tcW w:w="1962" w:type="dxa"/>
            <w:shd w:val="clear" w:color="auto" w:fill="DAEEF3"/>
          </w:tcPr>
          <w:p w:rsidR="00132F0E" w:rsidRPr="00E97E55" w:rsidRDefault="00B1412E" w:rsidP="00B1412E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QKSHD</w:t>
            </w:r>
            <w:r w:rsidR="000C6B82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i ka të a</w:t>
            </w:r>
            <w:r w:rsidR="00132F0E"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fishuara qartazi oraret e punës dhe numrat e kontakteve </w:t>
            </w:r>
          </w:p>
        </w:tc>
        <w:tc>
          <w:tcPr>
            <w:tcW w:w="2037" w:type="dxa"/>
            <w:shd w:val="clear" w:color="auto" w:fill="DAEEF3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Fotografi të qendrës së afishimit dhe raportet e monitorimit të komitetit drejtues</w:t>
            </w:r>
          </w:p>
        </w:tc>
        <w:tc>
          <w:tcPr>
            <w:tcW w:w="1792" w:type="dxa"/>
            <w:vMerge w:val="restart"/>
            <w:shd w:val="clear" w:color="auto" w:fill="DAEEF3"/>
          </w:tcPr>
          <w:p w:rsidR="00132F0E" w:rsidRPr="00FE3E46" w:rsidRDefault="00174C3A" w:rsidP="00DF5A28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Ambienti dhe kushtet fizike 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>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QKSHD 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jan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rshtatshme,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sigurta, q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ruajn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konfidencialitetin dhe me informacion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mjaftuesh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m</w:t>
            </w:r>
          </w:p>
        </w:tc>
      </w:tr>
      <w:tr w:rsidR="00132F0E" w:rsidRPr="00E97E55" w:rsidTr="00132F0E">
        <w:tc>
          <w:tcPr>
            <w:tcW w:w="1759" w:type="dxa"/>
            <w:vMerge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132F0E" w:rsidRPr="00E97E55" w:rsidRDefault="00132F0E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Ndërtesa është në gjendje të mirë dhe nuk ka rreziqe fizike, p.sh. që të rrëzohet apo rrjet të dobët elektrik </w:t>
            </w:r>
          </w:p>
        </w:tc>
        <w:tc>
          <w:tcPr>
            <w:tcW w:w="2037" w:type="dxa"/>
            <w:shd w:val="clear" w:color="auto" w:fill="B6DDE8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 periodike të kontrollit fizik të ndërtesës</w:t>
            </w:r>
          </w:p>
        </w:tc>
        <w:tc>
          <w:tcPr>
            <w:tcW w:w="1792" w:type="dxa"/>
            <w:vMerge/>
            <w:shd w:val="clear" w:color="auto" w:fill="B6DDE8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32F0E" w:rsidRPr="00E97E55" w:rsidTr="00132F0E">
        <w:tc>
          <w:tcPr>
            <w:tcW w:w="1759" w:type="dxa"/>
            <w:vMerge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DAEEF3"/>
          </w:tcPr>
          <w:p w:rsidR="00132F0E" w:rsidRPr="00E97E55" w:rsidRDefault="00132F0E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Zona e pritjes është e pajisur me karrige </w:t>
            </w:r>
          </w:p>
        </w:tc>
        <w:tc>
          <w:tcPr>
            <w:tcW w:w="2037" w:type="dxa"/>
            <w:shd w:val="clear" w:color="auto" w:fill="DAEEF3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Fotografi të zonës së pritjes dhe raportet e monitorimit të komitetit drejtues</w:t>
            </w:r>
          </w:p>
        </w:tc>
        <w:tc>
          <w:tcPr>
            <w:tcW w:w="1792" w:type="dxa"/>
            <w:vMerge/>
            <w:shd w:val="clear" w:color="auto" w:fill="DAEEF3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32F0E" w:rsidRPr="00E97E55" w:rsidTr="00132F0E">
        <w:tc>
          <w:tcPr>
            <w:tcW w:w="1759" w:type="dxa"/>
            <w:vMerge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132F0E" w:rsidRPr="00E97E55" w:rsidRDefault="00132F0E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Në zonën e pritjes ka një kënd njoftimesh me informacion kryesor mbi shërbimet e ofruara, qëllimin e qendrës dhe se si klientët mund të ankohen në rast pakënaqësie. </w:t>
            </w:r>
          </w:p>
        </w:tc>
        <w:tc>
          <w:tcPr>
            <w:tcW w:w="2037" w:type="dxa"/>
            <w:shd w:val="clear" w:color="auto" w:fill="B6DDE8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Fotografi të këndit të njoftimeve, kopje të përmbajtjes së informacionit dhe raportet e monitorimit të komitetit drejtues</w:t>
            </w:r>
          </w:p>
        </w:tc>
        <w:tc>
          <w:tcPr>
            <w:tcW w:w="1792" w:type="dxa"/>
            <w:vMerge/>
            <w:shd w:val="clear" w:color="auto" w:fill="B6DDE8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32F0E" w:rsidRPr="00E97E55" w:rsidTr="00132F0E">
        <w:tc>
          <w:tcPr>
            <w:tcW w:w="1759" w:type="dxa"/>
            <w:vMerge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DAEEF3"/>
          </w:tcPr>
          <w:p w:rsidR="00132F0E" w:rsidRPr="00E97E55" w:rsidRDefault="00132F0E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zonë/dhomë private për diskutime konfidenciale </w:t>
            </w:r>
          </w:p>
        </w:tc>
        <w:tc>
          <w:tcPr>
            <w:tcW w:w="2037" w:type="dxa"/>
            <w:shd w:val="clear" w:color="auto" w:fill="DAEEF3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Fotografi të zonës dhe raportet e monitorimit të komitetit drejtues</w:t>
            </w:r>
          </w:p>
        </w:tc>
        <w:tc>
          <w:tcPr>
            <w:tcW w:w="1792" w:type="dxa"/>
            <w:vMerge/>
            <w:shd w:val="clear" w:color="auto" w:fill="DAEEF3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32F0E" w:rsidRPr="00E97E55" w:rsidTr="00132F0E">
        <w:tc>
          <w:tcPr>
            <w:tcW w:w="1759" w:type="dxa"/>
            <w:vMerge/>
            <w:shd w:val="clear" w:color="auto" w:fill="0F243E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132F0E" w:rsidRPr="00E97E55" w:rsidRDefault="00132F0E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132F0E" w:rsidRPr="00E97E55" w:rsidRDefault="00132F0E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numër telefoni të posaçëm, akses në internet dhe një kompjuter </w:t>
            </w:r>
          </w:p>
        </w:tc>
        <w:tc>
          <w:tcPr>
            <w:tcW w:w="2037" w:type="dxa"/>
            <w:shd w:val="clear" w:color="auto" w:fill="B6DDE8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Të dhënat mbi numrin e telefonit, mbi lidhjen e internetit dhe mbi kompjuterin</w:t>
            </w:r>
          </w:p>
        </w:tc>
        <w:tc>
          <w:tcPr>
            <w:tcW w:w="1792" w:type="dxa"/>
            <w:vMerge/>
            <w:shd w:val="clear" w:color="auto" w:fill="B6DDE8"/>
          </w:tcPr>
          <w:p w:rsidR="00132F0E" w:rsidRPr="00E97E55" w:rsidRDefault="00132F0E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74C3A" w:rsidRPr="00E97E55" w:rsidTr="00132F0E">
        <w:tc>
          <w:tcPr>
            <w:tcW w:w="1759" w:type="dxa"/>
            <w:vMerge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 w:val="restart"/>
            <w:shd w:val="clear" w:color="auto" w:fill="548DD4"/>
          </w:tcPr>
          <w:p w:rsidR="00174C3A" w:rsidRPr="00E97E55" w:rsidRDefault="00174C3A" w:rsidP="002E1936">
            <w:pPr>
              <w:rPr>
                <w:rFonts w:ascii="Times New Roman" w:hAnsi="Times New Roman"/>
                <w:b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1.3 Financa, burimet njerëzore dhe kapacitetet</w:t>
            </w:r>
          </w:p>
        </w:tc>
        <w:tc>
          <w:tcPr>
            <w:tcW w:w="1962" w:type="dxa"/>
            <w:shd w:val="clear" w:color="auto" w:fill="8DB3E2"/>
          </w:tcPr>
          <w:p w:rsidR="00174C3A" w:rsidRPr="00E97E55" w:rsidRDefault="00174C3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B061E8">
              <w:rPr>
                <w:rFonts w:ascii="Times New Roman" w:hAnsi="Times New Roman"/>
                <w:sz w:val="20"/>
                <w:szCs w:val="20"/>
                <w:lang w:val="sq-AL"/>
              </w:rPr>
              <w:t>Është rënë dakord për një buxhet të përshtatshëm me Bashkinë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037" w:type="dxa"/>
            <w:shd w:val="clear" w:color="auto" w:fill="8DB3E2"/>
          </w:tcPr>
          <w:p w:rsidR="00174C3A" w:rsidRPr="00E97E55" w:rsidRDefault="00174C3A" w:rsidP="001F6A31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Marrëveshja me Bashkinë që tregon shumën e buxhetit</w:t>
            </w:r>
          </w:p>
        </w:tc>
        <w:tc>
          <w:tcPr>
            <w:tcW w:w="1792" w:type="dxa"/>
            <w:vMerge w:val="restart"/>
            <w:shd w:val="clear" w:color="auto" w:fill="8DB3E2"/>
          </w:tcPr>
          <w:p w:rsidR="00174C3A" w:rsidRPr="00FE3E46" w:rsidRDefault="00B1412E" w:rsidP="006B3FDA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QKSHD ka nj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buxhet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</w:t>
            </w:r>
            <w:r w:rsidR="006B3FDA"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6B3FDA"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rcaktuar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, personel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mjaftuesh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m,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kuali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>fikuar dhe trajnuar 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vijim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>
              <w:rPr>
                <w:rFonts w:ascii="Times New Roman" w:hAnsi="Times New Roman"/>
                <w:sz w:val="20"/>
                <w:szCs w:val="20"/>
                <w:lang w:val="sq-AL" w:eastAsia="sl-SI"/>
              </w:rPr>
              <w:t>si,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</w:t>
            </w:r>
            <w:r w:rsidR="006B3FDA"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me procedura rekrutimi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6B3FDA"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6B3FDA"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rshtatshme, 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rshkrime pune specifike dhe </w:t>
            </w:r>
            <w:r w:rsidR="006B3FDA"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vler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6B3FDA" w:rsidRPr="00FE3E46">
              <w:rPr>
                <w:rFonts w:ascii="Times New Roman" w:hAnsi="Times New Roman"/>
                <w:sz w:val="20"/>
                <w:szCs w:val="20"/>
                <w:lang w:val="sq-AL" w:eastAsia="sl-SI"/>
              </w:rPr>
              <w:t>sime performance vjetore</w:t>
            </w:r>
          </w:p>
        </w:tc>
      </w:tr>
      <w:tr w:rsidR="00174C3A" w:rsidRPr="00E97E55" w:rsidTr="00132F0E">
        <w:tc>
          <w:tcPr>
            <w:tcW w:w="1759" w:type="dxa"/>
            <w:vMerge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C6D9F1"/>
          </w:tcPr>
          <w:p w:rsidR="00174C3A" w:rsidRPr="00E97E55" w:rsidRDefault="00174C3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Personeli është i mjaftueshëm: të paktën një menaxher dhe dy punonjës mbështetës, që kanë përvojë dhe janë të kualifikuar të punojnë me fëmijët dhe familjet, me përshkrime pune specifike.  </w:t>
            </w:r>
          </w:p>
        </w:tc>
        <w:tc>
          <w:tcPr>
            <w:tcW w:w="2037" w:type="dxa"/>
            <w:shd w:val="clear" w:color="auto" w:fill="C6D9F1"/>
          </w:tcPr>
          <w:p w:rsidR="00174C3A" w:rsidRPr="00E97E55" w:rsidRDefault="00174C3A" w:rsidP="001F6A31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Organigrama e personelit, kopje të jetëshkrimit të secilit punonjës dhe kopje të përshkrimit të punëve të punonjësve</w:t>
            </w:r>
          </w:p>
        </w:tc>
        <w:tc>
          <w:tcPr>
            <w:tcW w:w="1792" w:type="dxa"/>
            <w:vMerge/>
            <w:shd w:val="clear" w:color="auto" w:fill="C6D9F1"/>
          </w:tcPr>
          <w:p w:rsidR="00174C3A" w:rsidRPr="00E97E55" w:rsidRDefault="00174C3A" w:rsidP="001F6A31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74C3A" w:rsidRPr="00E97E55" w:rsidTr="00132F0E">
        <w:tc>
          <w:tcPr>
            <w:tcW w:w="1759" w:type="dxa"/>
            <w:vMerge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174C3A" w:rsidRPr="00E97E55" w:rsidRDefault="00174C3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Zbaton procedura që sigurojnë se personeli rekrutohet në përputhje me procedurat mbrojtëse (p.sh. Referencat etj).</w:t>
            </w:r>
          </w:p>
        </w:tc>
        <w:tc>
          <w:tcPr>
            <w:tcW w:w="2037" w:type="dxa"/>
            <w:shd w:val="clear" w:color="auto" w:fill="8DB3E2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të procedurave të rekrutimit të personelit</w:t>
            </w:r>
          </w:p>
        </w:tc>
        <w:tc>
          <w:tcPr>
            <w:tcW w:w="1792" w:type="dxa"/>
            <w:vMerge/>
            <w:shd w:val="clear" w:color="auto" w:fill="8DB3E2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74C3A" w:rsidRPr="00E97E55" w:rsidTr="00132F0E">
        <w:tc>
          <w:tcPr>
            <w:tcW w:w="1759" w:type="dxa"/>
            <w:vMerge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C6D9F1"/>
          </w:tcPr>
          <w:p w:rsidR="00174C3A" w:rsidRPr="00E97E55" w:rsidRDefault="00174C3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plan nevojash profesionale dhe individuale për çdo punonjës, që përputhet me përshkrimin e punës/rolin e personelit </w:t>
            </w:r>
          </w:p>
        </w:tc>
        <w:tc>
          <w:tcPr>
            <w:tcW w:w="2037" w:type="dxa"/>
            <w:shd w:val="clear" w:color="auto" w:fill="C6D9F1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e planit të nevojave profesionale dhe individuale</w:t>
            </w:r>
          </w:p>
        </w:tc>
        <w:tc>
          <w:tcPr>
            <w:tcW w:w="1792" w:type="dxa"/>
            <w:vMerge/>
            <w:shd w:val="clear" w:color="auto" w:fill="C6D9F1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74C3A" w:rsidRPr="00E97E55" w:rsidTr="00132F0E">
        <w:tc>
          <w:tcPr>
            <w:tcW w:w="1759" w:type="dxa"/>
            <w:vMerge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174C3A" w:rsidRPr="00E97E55" w:rsidRDefault="00174C3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Punonjësve iu ofrohen trajnime për të përmbushur nevojat profesionale të identifikuara </w:t>
            </w:r>
          </w:p>
        </w:tc>
        <w:tc>
          <w:tcPr>
            <w:tcW w:w="2037" w:type="dxa"/>
            <w:shd w:val="clear" w:color="auto" w:fill="8DB3E2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Kalendari i trajnimit dhe raportim mbi punonjësit që kanë marrë pjesë në trajnime</w:t>
            </w:r>
          </w:p>
        </w:tc>
        <w:tc>
          <w:tcPr>
            <w:tcW w:w="1792" w:type="dxa"/>
            <w:vMerge/>
            <w:shd w:val="clear" w:color="auto" w:fill="8DB3E2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74C3A" w:rsidRPr="00E97E55" w:rsidTr="00132F0E">
        <w:tc>
          <w:tcPr>
            <w:tcW w:w="1759" w:type="dxa"/>
            <w:vMerge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C6D9F1"/>
          </w:tcPr>
          <w:p w:rsidR="00174C3A" w:rsidRPr="00B061E8" w:rsidRDefault="00174C3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B061E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Mbikëqyret të paktën një herë në 6 javë. </w:t>
            </w:r>
          </w:p>
        </w:tc>
        <w:tc>
          <w:tcPr>
            <w:tcW w:w="2037" w:type="dxa"/>
            <w:shd w:val="clear" w:color="auto" w:fill="C6D9F1"/>
          </w:tcPr>
          <w:p w:rsidR="00174C3A" w:rsidRPr="00B061E8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B061E8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 i mbikëqyrjes</w:t>
            </w:r>
          </w:p>
        </w:tc>
        <w:tc>
          <w:tcPr>
            <w:tcW w:w="1792" w:type="dxa"/>
            <w:vMerge/>
            <w:shd w:val="clear" w:color="auto" w:fill="C6D9F1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174C3A" w:rsidRPr="00E97E55" w:rsidTr="00132F0E">
        <w:tc>
          <w:tcPr>
            <w:tcW w:w="1759" w:type="dxa"/>
            <w:vMerge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174C3A" w:rsidRPr="00E97E55" w:rsidRDefault="00174C3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174C3A" w:rsidRPr="00E97E55" w:rsidRDefault="00174C3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Personeli vlerësohet një herë në vit</w:t>
            </w:r>
          </w:p>
        </w:tc>
        <w:tc>
          <w:tcPr>
            <w:tcW w:w="2037" w:type="dxa"/>
            <w:shd w:val="clear" w:color="auto" w:fill="8DB3E2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e vlerësimit të secilit punonjës</w:t>
            </w:r>
          </w:p>
        </w:tc>
        <w:tc>
          <w:tcPr>
            <w:tcW w:w="1792" w:type="dxa"/>
            <w:vMerge/>
            <w:shd w:val="clear" w:color="auto" w:fill="8DB3E2"/>
          </w:tcPr>
          <w:p w:rsidR="00174C3A" w:rsidRPr="00E97E55" w:rsidRDefault="00174C3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6B3FDA" w:rsidRPr="00E97E55" w:rsidTr="00132F0E">
        <w:tc>
          <w:tcPr>
            <w:tcW w:w="1759" w:type="dxa"/>
            <w:vMerge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 w:val="restart"/>
            <w:shd w:val="clear" w:color="auto" w:fill="92CDDC"/>
          </w:tcPr>
          <w:p w:rsidR="006B3FDA" w:rsidRPr="00E97E55" w:rsidRDefault="006B3FDA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1.4 Politikat dhe procedurat</w:t>
            </w:r>
          </w:p>
        </w:tc>
        <w:tc>
          <w:tcPr>
            <w:tcW w:w="1962" w:type="dxa"/>
            <w:shd w:val="clear" w:color="auto" w:fill="DAEEF3"/>
          </w:tcPr>
          <w:p w:rsidR="006B3FDA" w:rsidRPr="00E97E55" w:rsidRDefault="006B3FD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Ka një Politike Garantuese që detajon veprimet parandaluese të abuzimit dhe ato që duhen ndërmarrë në rast se ka çështje që lidhjen me mbrojtjen e fëmijëve</w:t>
            </w:r>
          </w:p>
        </w:tc>
        <w:tc>
          <w:tcPr>
            <w:tcW w:w="2037" w:type="dxa"/>
            <w:shd w:val="clear" w:color="auto" w:fill="DAEEF3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e Politikës Garantuese</w:t>
            </w:r>
          </w:p>
        </w:tc>
        <w:tc>
          <w:tcPr>
            <w:tcW w:w="1792" w:type="dxa"/>
            <w:vMerge w:val="restart"/>
            <w:shd w:val="clear" w:color="auto" w:fill="DAEEF3"/>
          </w:tcPr>
          <w:p w:rsidR="006B3FDA" w:rsidRPr="003D1A4C" w:rsidRDefault="006B3FDA" w:rsidP="00DF5A28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QKSHD 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ka politika dhe procedura q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rcaktojn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dhe garantojn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veprimet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r parandalimin e abuzimeve, nd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rmarrjen e veprimeve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r mbrojtjen e 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lastRenderedPageBreak/>
              <w:t>f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mij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ve, sjelljet e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rshtatshme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2F4860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personelit, </w:t>
            </w:r>
            <w:r w:rsidR="00B061E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procesin e ankimi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mit dhe shqyrtimit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ankesave </w:t>
            </w:r>
            <w:r w:rsidR="00B061E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B061E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cilat 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jan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afishuara dhe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aksesueshme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rfituesit e sh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rbimeve </w:t>
            </w:r>
          </w:p>
        </w:tc>
      </w:tr>
      <w:tr w:rsidR="006B3FDA" w:rsidRPr="00E97E55" w:rsidTr="00132F0E">
        <w:tc>
          <w:tcPr>
            <w:tcW w:w="1759" w:type="dxa"/>
            <w:vMerge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6B3FDA" w:rsidRPr="00E97E55" w:rsidRDefault="006B3FDA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6B3FDA" w:rsidRPr="00E97E55" w:rsidRDefault="006B3FD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Informacioni është i disponueshëm për përdoruesit e shërbimit në lidhje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 xml:space="preserve">me politikën garantuese dhe mënyrën se si mund të raportohet një shqetësim </w:t>
            </w:r>
          </w:p>
        </w:tc>
        <w:tc>
          <w:tcPr>
            <w:tcW w:w="2037" w:type="dxa"/>
            <w:shd w:val="clear" w:color="auto" w:fill="B6DDE8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lastRenderedPageBreak/>
              <w:t xml:space="preserve">Raportim se si shpërndahet informacioni tek </w:t>
            </w: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lastRenderedPageBreak/>
              <w:t>përdoruesit mbi politikën garantuese</w:t>
            </w:r>
          </w:p>
        </w:tc>
        <w:tc>
          <w:tcPr>
            <w:tcW w:w="1792" w:type="dxa"/>
            <w:vMerge/>
            <w:shd w:val="clear" w:color="auto" w:fill="B6DDE8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6B3FDA" w:rsidRPr="00E97E55" w:rsidTr="00132F0E">
        <w:tc>
          <w:tcPr>
            <w:tcW w:w="1759" w:type="dxa"/>
            <w:vMerge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6B3FDA" w:rsidRPr="00E97E55" w:rsidRDefault="006B3FDA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</w:p>
        </w:tc>
        <w:tc>
          <w:tcPr>
            <w:tcW w:w="1962" w:type="dxa"/>
            <w:shd w:val="clear" w:color="auto" w:fill="DAEEF3"/>
          </w:tcPr>
          <w:p w:rsidR="006B3FDA" w:rsidRPr="00E97E55" w:rsidRDefault="006B3FD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I gjithë stafi dhe vullnetarët trajnohen/orientohen mbi politikën garantuese brenda një muaji që nga fillimi i punës </w:t>
            </w:r>
          </w:p>
        </w:tc>
        <w:tc>
          <w:tcPr>
            <w:tcW w:w="2037" w:type="dxa"/>
            <w:shd w:val="clear" w:color="auto" w:fill="DAEEF3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Kalendari i trajnimit dhe emrat e punonjësve që janë trajnuar, duke treguar edhe kohën e fillimit të punës të secilit prej tyre</w:t>
            </w:r>
          </w:p>
        </w:tc>
        <w:tc>
          <w:tcPr>
            <w:tcW w:w="1792" w:type="dxa"/>
            <w:vMerge/>
            <w:shd w:val="clear" w:color="auto" w:fill="DAEEF3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6B3FDA" w:rsidRPr="00E97E55" w:rsidTr="00132F0E">
        <w:tc>
          <w:tcPr>
            <w:tcW w:w="1759" w:type="dxa"/>
            <w:vMerge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6B3FDA" w:rsidRPr="00E97E55" w:rsidRDefault="006B3FD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Të gjitha incidentet/çështjet që lidhen me mbrojtjen e fëmijëve sipas politikës garantuese regjistrohen në një dosje qendrore. </w:t>
            </w:r>
          </w:p>
        </w:tc>
        <w:tc>
          <w:tcPr>
            <w:tcW w:w="2037" w:type="dxa"/>
            <w:shd w:val="clear" w:color="auto" w:fill="B6DDE8"/>
          </w:tcPr>
          <w:p w:rsidR="006B3FDA" w:rsidRPr="00E97E55" w:rsidRDefault="006B3FDA" w:rsidP="005940E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Raportim mbi mënyrën e regjistrimit në dosjen qendrore dhe numri i incidenteve të regjistruara</w:t>
            </w:r>
          </w:p>
        </w:tc>
        <w:tc>
          <w:tcPr>
            <w:tcW w:w="1792" w:type="dxa"/>
            <w:vMerge/>
            <w:shd w:val="clear" w:color="auto" w:fill="B6DDE8"/>
          </w:tcPr>
          <w:p w:rsidR="006B3FDA" w:rsidRPr="00E97E55" w:rsidRDefault="006B3FDA" w:rsidP="005940E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6B3FDA" w:rsidRPr="00E97E55" w:rsidTr="00132F0E">
        <w:tc>
          <w:tcPr>
            <w:tcW w:w="1759" w:type="dxa"/>
            <w:vMerge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DAEEF3"/>
          </w:tcPr>
          <w:p w:rsidR="006B3FDA" w:rsidRPr="00E97E55" w:rsidRDefault="006B3FD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Kod Sjelljeje që përshkruan sjelljen që pritet nga personeli, dhe ky kod nënshkruhet nga i gjithë personeli </w:t>
            </w:r>
          </w:p>
        </w:tc>
        <w:tc>
          <w:tcPr>
            <w:tcW w:w="2037" w:type="dxa"/>
            <w:shd w:val="clear" w:color="auto" w:fill="DAEEF3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e Kodit të Sjelljes</w:t>
            </w:r>
          </w:p>
        </w:tc>
        <w:tc>
          <w:tcPr>
            <w:tcW w:w="1792" w:type="dxa"/>
            <w:vMerge/>
            <w:shd w:val="clear" w:color="auto" w:fill="DAEEF3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6B3FDA" w:rsidRPr="00E97E55" w:rsidTr="00132F0E">
        <w:tc>
          <w:tcPr>
            <w:tcW w:w="1759" w:type="dxa"/>
            <w:vMerge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6B3FDA" w:rsidRPr="00E97E55" w:rsidRDefault="006B3FD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Ka një Politikë për Ankesat që detajon se si mund të bëhen ankesat dhe procesin e shqyrtimit të ankesave</w:t>
            </w:r>
          </w:p>
        </w:tc>
        <w:tc>
          <w:tcPr>
            <w:tcW w:w="2037" w:type="dxa"/>
            <w:shd w:val="clear" w:color="auto" w:fill="B6DDE8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e Politikës së Ankesave</w:t>
            </w:r>
          </w:p>
        </w:tc>
        <w:tc>
          <w:tcPr>
            <w:tcW w:w="1792" w:type="dxa"/>
            <w:vMerge/>
            <w:shd w:val="clear" w:color="auto" w:fill="B6DDE8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6B3FDA" w:rsidRPr="00E97E55" w:rsidTr="00132F0E">
        <w:tc>
          <w:tcPr>
            <w:tcW w:w="1759" w:type="dxa"/>
            <w:vMerge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DAEEF3"/>
          </w:tcPr>
          <w:p w:rsidR="006B3FDA" w:rsidRPr="00E97E55" w:rsidRDefault="006B3FD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Përdoruesve të shërbimeve u jepet informacion në lidhje me Politikën e Ankesave dhe mënyrën si bëhet ankesa </w:t>
            </w:r>
          </w:p>
        </w:tc>
        <w:tc>
          <w:tcPr>
            <w:tcW w:w="2037" w:type="dxa"/>
            <w:shd w:val="clear" w:color="auto" w:fill="DAEEF3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Raportim si shpërndahet informacioni mbi Politikën e Ankesave</w:t>
            </w:r>
          </w:p>
        </w:tc>
        <w:tc>
          <w:tcPr>
            <w:tcW w:w="1792" w:type="dxa"/>
            <w:vMerge/>
            <w:shd w:val="clear" w:color="auto" w:fill="DAEEF3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6B3FDA" w:rsidRPr="00E97E55" w:rsidTr="00132F0E">
        <w:tc>
          <w:tcPr>
            <w:tcW w:w="1759" w:type="dxa"/>
            <w:vMerge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92CDDC"/>
          </w:tcPr>
          <w:p w:rsidR="006B3FDA" w:rsidRPr="00E97E55" w:rsidRDefault="006B3FDA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6B3FDA" w:rsidRPr="00E97E55" w:rsidRDefault="006B3FDA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regjistër qendror/dosje ankesash </w:t>
            </w:r>
          </w:p>
        </w:tc>
        <w:tc>
          <w:tcPr>
            <w:tcW w:w="2037" w:type="dxa"/>
            <w:shd w:val="clear" w:color="auto" w:fill="B6DDE8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Raportim mbi numrin e ankesave të paraqitura dhe rezultatet e shqyrtimit të tyre</w:t>
            </w:r>
          </w:p>
        </w:tc>
        <w:tc>
          <w:tcPr>
            <w:tcW w:w="1792" w:type="dxa"/>
            <w:vMerge/>
            <w:shd w:val="clear" w:color="auto" w:fill="B6DDE8"/>
          </w:tcPr>
          <w:p w:rsidR="006B3FDA" w:rsidRPr="00E97E55" w:rsidRDefault="006B3FDA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 w:val="restart"/>
            <w:shd w:val="clear" w:color="auto" w:fill="548DD4"/>
          </w:tcPr>
          <w:p w:rsidR="00B061E8" w:rsidRPr="00E97E55" w:rsidRDefault="00B061E8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 xml:space="preserve">1.5 </w:t>
            </w: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Mbajtja dhe mbrojtja e të dhënave</w:t>
            </w:r>
          </w:p>
        </w:tc>
        <w:tc>
          <w:tcPr>
            <w:tcW w:w="1962" w:type="dxa"/>
            <w:shd w:val="clear" w:color="auto" w:fill="C6D9F1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Çdo familje që ka akses te shërbimet e qendrës regjistrohet </w:t>
            </w:r>
          </w:p>
        </w:tc>
        <w:tc>
          <w:tcPr>
            <w:tcW w:w="2037" w:type="dxa"/>
            <w:shd w:val="clear" w:color="auto" w:fill="C6D9F1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Raportim mbi numrin e familjeve të regjistruara</w:t>
            </w:r>
          </w:p>
        </w:tc>
        <w:tc>
          <w:tcPr>
            <w:tcW w:w="1792" w:type="dxa"/>
            <w:vMerge w:val="restart"/>
            <w:shd w:val="clear" w:color="auto" w:fill="C6D9F1"/>
          </w:tcPr>
          <w:p w:rsidR="00B061E8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QKSHD regjistron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rdoruesit e sh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rbimeve, mban dosje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r </w:t>
            </w:r>
            <w:r w:rsidR="000C6B82" w:rsidRPr="00E97E55">
              <w:rPr>
                <w:rFonts w:ascii="Times New Roman" w:hAnsi="Times New Roman"/>
                <w:sz w:val="20"/>
                <w:szCs w:val="20"/>
                <w:lang w:val="sq-AL"/>
              </w:rPr>
              <w:t>ç</w:t>
            </w:r>
            <w:r w:rsidR="000C6B82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familje dhe an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tar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saj me informacion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rdit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suar,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domosdosh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m dhe konfidencial  </w:t>
            </w: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Çdo familje që ka rregullisht akses te shërbimet (p.sh. më shumë se tre herë) apo ka një angazhim të vazhdueshëm regjistrohet dhe ka një dosje për çdo familje </w:t>
            </w:r>
          </w:p>
        </w:tc>
        <w:tc>
          <w:tcPr>
            <w:tcW w:w="2037" w:type="dxa"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Raportim mbi numrin e këtyre lloj familjeve dhe mbi numrin e dosjeve të hapura</w:t>
            </w:r>
          </w:p>
        </w:tc>
        <w:tc>
          <w:tcPr>
            <w:tcW w:w="1792" w:type="dxa"/>
            <w:vMerge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  <w:shd w:val="clear" w:color="auto" w:fill="548DD4"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C6D9F1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Çdo dosje e familjes është e ndarë sipas anëtarëve të familjes </w:t>
            </w:r>
          </w:p>
        </w:tc>
        <w:tc>
          <w:tcPr>
            <w:tcW w:w="2037" w:type="dxa"/>
            <w:shd w:val="clear" w:color="auto" w:fill="C6D9F1"/>
          </w:tcPr>
          <w:p w:rsidR="00B061E8" w:rsidRPr="00E97E55" w:rsidRDefault="00B061E8" w:rsidP="00B93665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Raportet e kontrollit/monitorimit</w:t>
            </w:r>
          </w:p>
        </w:tc>
        <w:tc>
          <w:tcPr>
            <w:tcW w:w="1792" w:type="dxa"/>
            <w:vMerge/>
            <w:shd w:val="clear" w:color="auto" w:fill="C6D9F1"/>
          </w:tcPr>
          <w:p w:rsidR="00B061E8" w:rsidRPr="00E97E55" w:rsidRDefault="00B061E8" w:rsidP="00B93665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B061E8" w:rsidRPr="00E97E55" w:rsidRDefault="00B061E8" w:rsidP="001B0411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Çdo familj</w:t>
            </w:r>
            <w:r w:rsidR="001B0411">
              <w:rPr>
                <w:rFonts w:ascii="Times New Roman" w:hAnsi="Times New Roman"/>
                <w:sz w:val="20"/>
                <w:szCs w:val="20"/>
                <w:lang w:val="sq-AL"/>
              </w:rPr>
              <w:t>e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ka numrin e saj të identifikimit</w:t>
            </w:r>
          </w:p>
        </w:tc>
        <w:tc>
          <w:tcPr>
            <w:tcW w:w="2037" w:type="dxa"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Raportet e kontrollit/monitorimit</w:t>
            </w:r>
          </w:p>
        </w:tc>
        <w:tc>
          <w:tcPr>
            <w:tcW w:w="1792" w:type="dxa"/>
            <w:vMerge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C6D9F1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Dosjet mbahen</w:t>
            </w:r>
            <w:r w:rsidR="001B0411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të sigurta në një dollap të mbyllur dhe </w:t>
            </w:r>
            <w:r w:rsidRPr="00E97E55">
              <w:rPr>
                <w:rFonts w:ascii="Times New Roman" w:hAnsi="Times New Roman"/>
                <w:sz w:val="20"/>
                <w:szCs w:val="20"/>
                <w:shd w:val="clear" w:color="auto" w:fill="C6D9F1"/>
                <w:lang w:val="sq-AL"/>
              </w:rPr>
              <w:t>personeli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ka akses të kufizuar në to, sipas rastit dhe rolit </w:t>
            </w:r>
          </w:p>
        </w:tc>
        <w:tc>
          <w:tcPr>
            <w:tcW w:w="2037" w:type="dxa"/>
            <w:shd w:val="clear" w:color="auto" w:fill="C6D9F1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Raportet e kontrollit/monitorimit</w:t>
            </w:r>
          </w:p>
        </w:tc>
        <w:tc>
          <w:tcPr>
            <w:tcW w:w="1792" w:type="dxa"/>
            <w:vMerge/>
            <w:shd w:val="clear" w:color="auto" w:fill="C6D9F1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Të dhënat përditësohen, pa mbajtur shënime në fletë të veҁanta në blloqet e punonjësve - përditësimi duhet të ndodhë brenda dy javëve që nga momenti i marrjes së të dhënave  </w:t>
            </w:r>
          </w:p>
        </w:tc>
        <w:tc>
          <w:tcPr>
            <w:tcW w:w="2037" w:type="dxa"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Raportet e kontrollit/monitorimit</w:t>
            </w:r>
          </w:p>
        </w:tc>
        <w:tc>
          <w:tcPr>
            <w:tcW w:w="1792" w:type="dxa"/>
            <w:vMerge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C6D9F1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Dosjet tregojnë në detaje kontaktet</w:t>
            </w:r>
            <w:r w:rsidR="001B0411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me të gjithë anëtarët e familjes dhe me profesionistët që punojnë me familjen </w:t>
            </w:r>
          </w:p>
        </w:tc>
        <w:tc>
          <w:tcPr>
            <w:tcW w:w="2037" w:type="dxa"/>
            <w:shd w:val="clear" w:color="auto" w:fill="C6D9F1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Raportet e kontrollit/monitorimit</w:t>
            </w:r>
          </w:p>
        </w:tc>
        <w:tc>
          <w:tcPr>
            <w:tcW w:w="1792" w:type="dxa"/>
            <w:vMerge/>
            <w:shd w:val="clear" w:color="auto" w:fill="C6D9F1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Politikë Konfidencialiteti që nënshkruhet nga i gjithë personeli </w:t>
            </w:r>
          </w:p>
        </w:tc>
        <w:tc>
          <w:tcPr>
            <w:tcW w:w="2037" w:type="dxa"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e Politikës së Konfidencialitetit me nënshkrimet e punonjësve</w:t>
            </w:r>
          </w:p>
        </w:tc>
        <w:tc>
          <w:tcPr>
            <w:tcW w:w="1792" w:type="dxa"/>
            <w:vMerge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C6D9F1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Informacioni është konfidencial dhe ndahet vetëm me lejen e përdoruesit të shërbimit, ose nëse është e nevojshme për çështje që lidhen me mbrojtjen e fëmijëve </w:t>
            </w:r>
          </w:p>
        </w:tc>
        <w:tc>
          <w:tcPr>
            <w:tcW w:w="2037" w:type="dxa"/>
            <w:shd w:val="clear" w:color="auto" w:fill="C6D9F1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Raportet e kontrollit/monitorimit</w:t>
            </w:r>
          </w:p>
        </w:tc>
        <w:tc>
          <w:tcPr>
            <w:tcW w:w="1792" w:type="dxa"/>
            <w:vMerge/>
            <w:shd w:val="clear" w:color="auto" w:fill="C6D9F1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B061E8" w:rsidRPr="00E97E55" w:rsidTr="00132F0E">
        <w:tc>
          <w:tcPr>
            <w:tcW w:w="1759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B061E8" w:rsidRPr="00E97E55" w:rsidRDefault="00B061E8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8DB3E2"/>
          </w:tcPr>
          <w:p w:rsidR="00B061E8" w:rsidRPr="00E97E55" w:rsidRDefault="00B061E8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Në rastet kur të dhënat mbahen në kompjuter, dosjet janë të ruajtura me kod dhe kodi nuk mund të ndahet me të tjerët  </w:t>
            </w:r>
          </w:p>
        </w:tc>
        <w:tc>
          <w:tcPr>
            <w:tcW w:w="2037" w:type="dxa"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Raportet e kontrollit/monitorimit</w:t>
            </w:r>
          </w:p>
        </w:tc>
        <w:tc>
          <w:tcPr>
            <w:tcW w:w="1792" w:type="dxa"/>
            <w:vMerge/>
            <w:shd w:val="clear" w:color="auto" w:fill="8DB3E2"/>
          </w:tcPr>
          <w:p w:rsidR="00B061E8" w:rsidRPr="00E97E55" w:rsidRDefault="00B061E8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FE3E46" w:rsidRPr="00E97E55" w:rsidTr="00132F0E">
        <w:tc>
          <w:tcPr>
            <w:tcW w:w="1759" w:type="dxa"/>
            <w:vMerge/>
          </w:tcPr>
          <w:p w:rsidR="00FE3E46" w:rsidRPr="00E97E55" w:rsidRDefault="00FE3E46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 w:val="restart"/>
            <w:shd w:val="clear" w:color="auto" w:fill="92CDDC"/>
          </w:tcPr>
          <w:p w:rsidR="00FE3E46" w:rsidRPr="00E97E55" w:rsidRDefault="00FE3E46" w:rsidP="00704242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 xml:space="preserve">1.6 </w:t>
            </w: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Monitorimi dhe rishikimi</w:t>
            </w:r>
          </w:p>
        </w:tc>
        <w:tc>
          <w:tcPr>
            <w:tcW w:w="1962" w:type="dxa"/>
            <w:shd w:val="clear" w:color="auto" w:fill="DAEEF3"/>
          </w:tcPr>
          <w:p w:rsidR="00FE3E46" w:rsidRPr="00E97E55" w:rsidRDefault="00FE3E4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Çdo procedurë dhe politikë analizohet të paktën një herë në vit dhe nëse është e nevojshme rishikohet </w:t>
            </w:r>
          </w:p>
        </w:tc>
        <w:tc>
          <w:tcPr>
            <w:tcW w:w="2037" w:type="dxa"/>
            <w:shd w:val="clear" w:color="auto" w:fill="DAEEF3"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të analizës dhe të akteve të rishikuara</w:t>
            </w:r>
          </w:p>
        </w:tc>
        <w:tc>
          <w:tcPr>
            <w:tcW w:w="1792" w:type="dxa"/>
            <w:vMerge w:val="restart"/>
            <w:shd w:val="clear" w:color="auto" w:fill="DAEEF3"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Procedurat, politikat, rastet dhe sh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rbimet monitorohen, analizohen dhe rishqyrtohen n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m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nyr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rregullt dhe me nj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frekuenc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t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 xml:space="preserve"> p</w:t>
            </w:r>
            <w:r w:rsid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 w:eastAsia="sl-SI"/>
              </w:rPr>
              <w:t>rcaktuar</w:t>
            </w:r>
          </w:p>
        </w:tc>
      </w:tr>
      <w:tr w:rsidR="00FE3E46" w:rsidRPr="00E97E55" w:rsidTr="00132F0E">
        <w:tc>
          <w:tcPr>
            <w:tcW w:w="1759" w:type="dxa"/>
            <w:vMerge/>
          </w:tcPr>
          <w:p w:rsidR="00FE3E46" w:rsidRPr="00E97E55" w:rsidRDefault="00FE3E46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FE3E46" w:rsidRPr="00E97E55" w:rsidRDefault="00FE3E46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FE3E46" w:rsidRPr="00E97E55" w:rsidRDefault="00FE3E4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referimeve, rasteve të hapura dhe të mbyllura shqyrtohen ҁdo dy javë</w:t>
            </w:r>
          </w:p>
        </w:tc>
        <w:tc>
          <w:tcPr>
            <w:tcW w:w="2037" w:type="dxa"/>
            <w:shd w:val="clear" w:color="auto" w:fill="B6DDE8"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Raportim mbi shqyrtimin dy javor dhe rezultatet</w:t>
            </w:r>
          </w:p>
        </w:tc>
        <w:tc>
          <w:tcPr>
            <w:tcW w:w="1792" w:type="dxa"/>
            <w:vMerge/>
            <w:shd w:val="clear" w:color="auto" w:fill="B6DDE8"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FE3E46" w:rsidRPr="00E97E55" w:rsidTr="00132F0E">
        <w:tc>
          <w:tcPr>
            <w:tcW w:w="1759" w:type="dxa"/>
            <w:vMerge/>
          </w:tcPr>
          <w:p w:rsidR="00FE3E46" w:rsidRPr="00E97E55" w:rsidRDefault="00FE3E46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FE3E46" w:rsidRPr="00E97E55" w:rsidRDefault="00FE3E46" w:rsidP="00704242">
            <w:pPr>
              <w:rPr>
                <w:rFonts w:ascii="Times New Roman" w:hAnsi="Times New Roman"/>
                <w:lang w:val="sq-AL" w:eastAsia="sl-SI"/>
              </w:rPr>
            </w:pPr>
          </w:p>
        </w:tc>
        <w:tc>
          <w:tcPr>
            <w:tcW w:w="1962" w:type="dxa"/>
            <w:shd w:val="clear" w:color="auto" w:fill="DAEEF3"/>
          </w:tcPr>
          <w:p w:rsidR="00FE3E46" w:rsidRPr="00E97E55" w:rsidRDefault="00FE3E4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Detajet e rishqyrtimit dhe të përputhshmërisë i paraqiten komitetit drejtues çdo tre muaj </w:t>
            </w:r>
          </w:p>
        </w:tc>
        <w:tc>
          <w:tcPr>
            <w:tcW w:w="2037" w:type="dxa"/>
            <w:shd w:val="clear" w:color="auto" w:fill="DAEEF3"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Kopje të raportimit tremujor drejtuar komitetit drejtues</w:t>
            </w:r>
          </w:p>
        </w:tc>
        <w:tc>
          <w:tcPr>
            <w:tcW w:w="1792" w:type="dxa"/>
            <w:vMerge/>
            <w:shd w:val="clear" w:color="auto" w:fill="DAEEF3"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FE3E46" w:rsidRPr="00E97E55" w:rsidTr="00132F0E">
        <w:tc>
          <w:tcPr>
            <w:tcW w:w="1759" w:type="dxa"/>
            <w:vMerge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  <w:tc>
          <w:tcPr>
            <w:tcW w:w="2188" w:type="dxa"/>
            <w:vMerge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  <w:tc>
          <w:tcPr>
            <w:tcW w:w="1962" w:type="dxa"/>
            <w:shd w:val="clear" w:color="auto" w:fill="B6DDE8"/>
          </w:tcPr>
          <w:p w:rsidR="00FE3E46" w:rsidRPr="00E97E55" w:rsidRDefault="00FE3E4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Çdo shërbim rishqyrtohet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 xml:space="preserve">rregullisht nga personeli dhe përdoruesit e shërbimit, kur është e përshtatshme në varësi të shërbimit   </w:t>
            </w:r>
          </w:p>
        </w:tc>
        <w:tc>
          <w:tcPr>
            <w:tcW w:w="2037" w:type="dxa"/>
            <w:shd w:val="clear" w:color="auto" w:fill="B6DDE8"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lastRenderedPageBreak/>
              <w:t xml:space="preserve">Raportim mbi rishqyrtimin e </w:t>
            </w: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lastRenderedPageBreak/>
              <w:t>shërbimeve</w:t>
            </w:r>
          </w:p>
        </w:tc>
        <w:tc>
          <w:tcPr>
            <w:tcW w:w="1792" w:type="dxa"/>
            <w:vMerge/>
            <w:shd w:val="clear" w:color="auto" w:fill="B6DDE8"/>
          </w:tcPr>
          <w:p w:rsidR="00FE3E46" w:rsidRPr="00E97E55" w:rsidRDefault="00FE3E46" w:rsidP="00704242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</w:tbl>
    <w:p w:rsidR="00704242" w:rsidRPr="00F43A57" w:rsidRDefault="00704242" w:rsidP="008F0FA4">
      <w:pPr>
        <w:rPr>
          <w:rFonts w:ascii="Times New Roman" w:hAnsi="Times New Roman"/>
          <w:sz w:val="20"/>
          <w:szCs w:val="20"/>
          <w:lang w:val="sq-AL" w:eastAsia="sl-SI"/>
        </w:rPr>
      </w:pPr>
    </w:p>
    <w:p w:rsidR="00976391" w:rsidRPr="00F43A57" w:rsidRDefault="005A057A" w:rsidP="00976391">
      <w:pPr>
        <w:pStyle w:val="Heading2"/>
        <w:spacing w:after="0" w:line="240" w:lineRule="auto"/>
        <w:ind w:left="2880" w:hanging="2863"/>
        <w:jc w:val="both"/>
        <w:rPr>
          <w:rFonts w:ascii="Times New Roman" w:hAnsi="Times New Roman"/>
          <w:sz w:val="24"/>
          <w:szCs w:val="24"/>
          <w:lang w:val="sq-AL" w:eastAsia="sl-SI"/>
        </w:rPr>
      </w:pPr>
      <w:r w:rsidRPr="00F43A57">
        <w:rPr>
          <w:rFonts w:ascii="Times New Roman" w:hAnsi="Times New Roman"/>
          <w:sz w:val="24"/>
          <w:szCs w:val="24"/>
          <w:lang w:val="sq-AL" w:eastAsia="sl-SI"/>
        </w:rPr>
        <w:t xml:space="preserve">STANDARDI 2: </w:t>
      </w:r>
      <w:r w:rsidR="00976391" w:rsidRPr="00F43A57">
        <w:rPr>
          <w:rFonts w:ascii="Times New Roman" w:hAnsi="Times New Roman"/>
          <w:sz w:val="24"/>
          <w:szCs w:val="24"/>
          <w:lang w:val="sq-AL" w:eastAsia="sl-SI"/>
        </w:rPr>
        <w:tab/>
      </w:r>
      <w:r w:rsidR="00976391" w:rsidRPr="00F43A57">
        <w:rPr>
          <w:rFonts w:ascii="Times New Roman" w:hAnsi="Times New Roman"/>
          <w:sz w:val="24"/>
          <w:szCs w:val="24"/>
          <w:lang w:val="sq-AL"/>
        </w:rPr>
        <w:t>QKSHD punon në mënyrë proaktive dhe përfshin komunitetin që të sigurojë shërbime të përshtatshme dhe që kanë rëndësi për komunitetin</w:t>
      </w:r>
      <w:r w:rsidR="00976391" w:rsidRPr="00F43A57">
        <w:rPr>
          <w:rFonts w:ascii="Times New Roman" w:hAnsi="Times New Roman"/>
          <w:sz w:val="24"/>
          <w:szCs w:val="24"/>
          <w:lang w:val="sq-AL" w:eastAsia="sl-SI"/>
        </w:rPr>
        <w:t xml:space="preserve"> </w:t>
      </w:r>
    </w:p>
    <w:p w:rsidR="00976391" w:rsidRPr="00F43A57" w:rsidRDefault="00976391" w:rsidP="00976391">
      <w:pPr>
        <w:rPr>
          <w:lang w:val="sq-AL" w:eastAsia="sl-SI"/>
        </w:rPr>
      </w:pPr>
    </w:p>
    <w:p w:rsidR="00976391" w:rsidRPr="00F43A57" w:rsidRDefault="00976391" w:rsidP="00976391">
      <w:pPr>
        <w:pStyle w:val="Heading2"/>
        <w:spacing w:after="0" w:line="240" w:lineRule="auto"/>
        <w:ind w:left="2880" w:hanging="2863"/>
        <w:jc w:val="both"/>
        <w:rPr>
          <w:rFonts w:ascii="Times New Roman" w:hAnsi="Times New Roman"/>
          <w:sz w:val="24"/>
          <w:szCs w:val="24"/>
          <w:lang w:val="sq-AL"/>
        </w:rPr>
      </w:pPr>
      <w:r w:rsidRPr="00F43A57">
        <w:rPr>
          <w:rFonts w:ascii="Times New Roman" w:hAnsi="Times New Roman"/>
          <w:sz w:val="24"/>
          <w:szCs w:val="24"/>
          <w:lang w:val="sq-AL"/>
        </w:rPr>
        <w:t>Rezultati i pritsh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m:  </w:t>
      </w:r>
      <w:r w:rsidRPr="00F43A57">
        <w:rPr>
          <w:rFonts w:ascii="Times New Roman" w:hAnsi="Times New Roman"/>
          <w:sz w:val="24"/>
          <w:szCs w:val="24"/>
          <w:lang w:val="sq-AL"/>
        </w:rPr>
        <w:tab/>
        <w:t>Sh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rbimet e kujdesit shoq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ror t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ofruara jan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rshtatshme dhe t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r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nd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sishme p</w:t>
      </w:r>
      <w:r w:rsidR="005A057A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r komunitetin</w:t>
      </w:r>
    </w:p>
    <w:p w:rsidR="008F0FA4" w:rsidRPr="00F43A57" w:rsidRDefault="008F0FA4" w:rsidP="008F0FA4">
      <w:pPr>
        <w:rPr>
          <w:rFonts w:ascii="Times New Roman" w:hAnsi="Times New Roman"/>
          <w:sz w:val="20"/>
          <w:szCs w:val="20"/>
          <w:lang w:val="sq-AL" w:eastAsia="sl-SI"/>
        </w:rPr>
      </w:pPr>
      <w:r w:rsidRPr="00F43A57">
        <w:rPr>
          <w:rFonts w:ascii="Times New Roman" w:hAnsi="Times New Roman"/>
          <w:sz w:val="20"/>
          <w:szCs w:val="20"/>
          <w:lang w:val="sq-AL" w:eastAsia="sl-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9"/>
        <w:gridCol w:w="2730"/>
        <w:gridCol w:w="2486"/>
        <w:gridCol w:w="1861"/>
      </w:tblGrid>
      <w:tr w:rsidR="00FE3E46" w:rsidRPr="00E97E55" w:rsidTr="00FE3E46">
        <w:tc>
          <w:tcPr>
            <w:tcW w:w="2499" w:type="dxa"/>
            <w:shd w:val="clear" w:color="auto" w:fill="0F243E"/>
          </w:tcPr>
          <w:p w:rsidR="00FE3E46" w:rsidRPr="00E97E55" w:rsidRDefault="00FE3E46" w:rsidP="008F0FA4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STANDARDI</w:t>
            </w:r>
          </w:p>
        </w:tc>
        <w:tc>
          <w:tcPr>
            <w:tcW w:w="2730" w:type="dxa"/>
            <w:shd w:val="clear" w:color="auto" w:fill="0F243E"/>
          </w:tcPr>
          <w:p w:rsidR="00FE3E46" w:rsidRPr="00E97E55" w:rsidRDefault="00FE3E46" w:rsidP="008F0FA4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KRITERET</w:t>
            </w:r>
          </w:p>
        </w:tc>
        <w:tc>
          <w:tcPr>
            <w:tcW w:w="2486" w:type="dxa"/>
            <w:shd w:val="clear" w:color="auto" w:fill="0F243E"/>
          </w:tcPr>
          <w:p w:rsidR="00FE3E46" w:rsidRPr="003D1A4C" w:rsidRDefault="00FE3E46" w:rsidP="008F0FA4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3D1A4C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TREGUESIT E CILËSISË</w:t>
            </w:r>
          </w:p>
        </w:tc>
        <w:tc>
          <w:tcPr>
            <w:tcW w:w="1861" w:type="dxa"/>
            <w:shd w:val="clear" w:color="auto" w:fill="0F243E"/>
          </w:tcPr>
          <w:p w:rsidR="00FE3E46" w:rsidRPr="003D1A4C" w:rsidRDefault="00FE3E46" w:rsidP="008F0FA4">
            <w:pPr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</w:pPr>
            <w:r w:rsidRPr="003D1A4C">
              <w:rPr>
                <w:rFonts w:ascii="Times New Roman" w:hAnsi="Times New Roman"/>
                <w:b/>
                <w:sz w:val="24"/>
                <w:szCs w:val="24"/>
                <w:lang w:val="sq-AL" w:eastAsia="sl-SI"/>
              </w:rPr>
              <w:t>REZULTATI I PRITSHËM</w:t>
            </w:r>
          </w:p>
        </w:tc>
      </w:tr>
      <w:tr w:rsidR="00EE1106" w:rsidRPr="00E97E55" w:rsidTr="00FE3E46">
        <w:tc>
          <w:tcPr>
            <w:tcW w:w="2499" w:type="dxa"/>
            <w:vMerge w:val="restart"/>
            <w:shd w:val="clear" w:color="auto" w:fill="17365D"/>
          </w:tcPr>
          <w:p w:rsidR="00EE1106" w:rsidRPr="00E97E55" w:rsidRDefault="00EE1106" w:rsidP="008F0FA4">
            <w:pPr>
              <w:rPr>
                <w:rFonts w:ascii="Times New Roman" w:hAnsi="Times New Roman"/>
                <w:b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QKSHD punon në mënyrë proaktive dhe përfshin komunitetin që të sigurojë shërbime të përshtatshme dhe që kanë rëndësi për komunitetin</w:t>
            </w:r>
          </w:p>
        </w:tc>
        <w:tc>
          <w:tcPr>
            <w:tcW w:w="2730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Konsultimet ndodhin rregullisht me komunitetin në lidhje me veprimtarinë e QKSHD dhe shërbimet që ofrohen – të paktën</w:t>
            </w:r>
            <w:r w:rsidR="001B0411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një herë në vit</w:t>
            </w:r>
          </w:p>
        </w:tc>
        <w:tc>
          <w:tcPr>
            <w:tcW w:w="2486" w:type="dxa"/>
            <w:shd w:val="clear" w:color="auto" w:fill="C6D9F1"/>
          </w:tcPr>
          <w:p w:rsidR="00EE1106" w:rsidRPr="003D1A4C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Kalendari i konsultimeve dhe raportim për rezultatet e tyre</w:t>
            </w:r>
          </w:p>
        </w:tc>
        <w:tc>
          <w:tcPr>
            <w:tcW w:w="1861" w:type="dxa"/>
            <w:vMerge w:val="restart"/>
            <w:shd w:val="clear" w:color="auto" w:fill="C6D9F1"/>
          </w:tcPr>
          <w:p w:rsidR="00EE1106" w:rsidRPr="003D1A4C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3D1A4C">
              <w:rPr>
                <w:rFonts w:ascii="Times New Roman" w:hAnsi="Times New Roman"/>
                <w:sz w:val="20"/>
                <w:szCs w:val="20"/>
                <w:lang w:val="sq-AL" w:eastAsia="sl-SI"/>
              </w:rPr>
              <w:t>Shërbimet e kujdesit shoqëror të ofruara janë të përshtatshme dhe të rëndësishme për komunitetin</w:t>
            </w:r>
          </w:p>
        </w:tc>
      </w:tr>
      <w:tr w:rsidR="00EE1106" w:rsidRPr="00E97E55" w:rsidTr="00FE3E4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  <w:tc>
          <w:tcPr>
            <w:tcW w:w="2730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Anëtarët e komunitetit/përdoruesit e shërbimeve përfshihen në veprimtarinë dhe menaxhimin e QKSHD </w:t>
            </w:r>
          </w:p>
        </w:tc>
        <w:tc>
          <w:tcPr>
            <w:tcW w:w="2486" w:type="dxa"/>
            <w:shd w:val="clear" w:color="auto" w:fill="8DB3E2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Raportim për aktivitetet ku janë përfshirë anëtarët e komunitetit</w:t>
            </w:r>
          </w:p>
        </w:tc>
        <w:tc>
          <w:tcPr>
            <w:tcW w:w="1861" w:type="dxa"/>
            <w:vMerge/>
            <w:shd w:val="clear" w:color="auto" w:fill="8DB3E2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EE1106" w:rsidRPr="00E97E55" w:rsidTr="00FE3E4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  <w:tc>
          <w:tcPr>
            <w:tcW w:w="2730" w:type="dxa"/>
            <w:shd w:val="clear" w:color="auto" w:fill="C6D9F1"/>
          </w:tcPr>
          <w:p w:rsidR="00EE1106" w:rsidRPr="003D1A4C" w:rsidRDefault="00EE1106" w:rsidP="00DF5A28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D1A4C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Me përdoruesit e shërbimeve </w:t>
            </w:r>
            <w:r w:rsidR="003D1A4C" w:rsidRPr="003D1A4C">
              <w:rPr>
                <w:rFonts w:ascii="Times New Roman" w:hAnsi="Times New Roman"/>
                <w:sz w:val="20"/>
                <w:szCs w:val="20"/>
                <w:lang w:val="sq-AL"/>
              </w:rPr>
              <w:t>diskutohet dhe dakord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/>
              </w:rPr>
              <w:t>ohet plani i nd</w:t>
            </w:r>
            <w:r w:rsidR="003D1A4C" w:rsidRPr="003D1A4C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DF5A28" w:rsidRPr="003D1A4C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rhyrjes </w:t>
            </w:r>
          </w:p>
        </w:tc>
        <w:tc>
          <w:tcPr>
            <w:tcW w:w="2486" w:type="dxa"/>
            <w:shd w:val="clear" w:color="auto" w:fill="C6D9F1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Numri i kontratave të lidhura dhe kopje të tyre</w:t>
            </w:r>
          </w:p>
        </w:tc>
        <w:tc>
          <w:tcPr>
            <w:tcW w:w="1861" w:type="dxa"/>
            <w:vMerge/>
            <w:shd w:val="clear" w:color="auto" w:fill="C6D9F1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  <w:tr w:rsidR="00EE1106" w:rsidRPr="00E97E55" w:rsidTr="00FE3E4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  <w:tc>
          <w:tcPr>
            <w:tcW w:w="2730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Fëmijët konsultohen në mënyrë aktive dhe përfshihen në aktivitete dhe rishikimin/përmirësimin e tyre </w:t>
            </w:r>
          </w:p>
        </w:tc>
        <w:tc>
          <w:tcPr>
            <w:tcW w:w="2486" w:type="dxa"/>
            <w:shd w:val="clear" w:color="auto" w:fill="8DB3E2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 w:eastAsia="sl-SI"/>
              </w:rPr>
              <w:t>Raportim për aktivitetet ku janë përfshirë fëmijët dhe rezultatet e tyre</w:t>
            </w:r>
          </w:p>
        </w:tc>
        <w:tc>
          <w:tcPr>
            <w:tcW w:w="1861" w:type="dxa"/>
            <w:vMerge/>
            <w:shd w:val="clear" w:color="auto" w:fill="8DB3E2"/>
          </w:tcPr>
          <w:p w:rsidR="00EE1106" w:rsidRPr="00E97E55" w:rsidRDefault="00EE1106" w:rsidP="008F0FA4">
            <w:pPr>
              <w:rPr>
                <w:rFonts w:ascii="Times New Roman" w:hAnsi="Times New Roman"/>
                <w:sz w:val="20"/>
                <w:szCs w:val="20"/>
                <w:lang w:val="sq-AL" w:eastAsia="sl-SI"/>
              </w:rPr>
            </w:pPr>
          </w:p>
        </w:tc>
      </w:tr>
    </w:tbl>
    <w:p w:rsidR="00FA2275" w:rsidRPr="00F43A57" w:rsidRDefault="00FA2275" w:rsidP="008F0FA4">
      <w:pPr>
        <w:rPr>
          <w:rFonts w:ascii="Times New Roman" w:hAnsi="Times New Roman"/>
          <w:sz w:val="20"/>
          <w:szCs w:val="20"/>
          <w:lang w:val="sq-AL" w:eastAsia="sl-SI"/>
        </w:rPr>
      </w:pPr>
    </w:p>
    <w:p w:rsidR="002739BC" w:rsidRPr="00F43A57" w:rsidRDefault="005A057A" w:rsidP="005A057A">
      <w:pPr>
        <w:spacing w:after="0" w:line="240" w:lineRule="auto"/>
        <w:ind w:left="2880" w:hanging="288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3A57">
        <w:rPr>
          <w:rFonts w:ascii="Times New Roman" w:hAnsi="Times New Roman"/>
          <w:b/>
          <w:sz w:val="24"/>
          <w:szCs w:val="24"/>
          <w:lang w:val="sq-AL"/>
        </w:rPr>
        <w:t xml:space="preserve">STANDARDI 3: 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ab/>
      </w:r>
      <w:r w:rsidR="00FA2275" w:rsidRPr="00F43A57">
        <w:rPr>
          <w:rFonts w:ascii="Times New Roman" w:hAnsi="Times New Roman"/>
          <w:b/>
          <w:sz w:val="24"/>
          <w:szCs w:val="24"/>
          <w:lang w:val="sq-AL"/>
        </w:rPr>
        <w:t>QKSHD funksionon në mënyrë shumëdisiplinore dhe ndërsektoriale</w:t>
      </w:r>
    </w:p>
    <w:p w:rsidR="00FA2275" w:rsidRPr="00F43A57" w:rsidRDefault="00FA2275" w:rsidP="00946D62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FA2275" w:rsidRPr="003D1A4C" w:rsidRDefault="00FA2275" w:rsidP="005A057A">
      <w:pPr>
        <w:spacing w:after="0" w:line="240" w:lineRule="auto"/>
        <w:ind w:left="2880" w:hanging="288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3A57">
        <w:rPr>
          <w:rFonts w:ascii="Times New Roman" w:hAnsi="Times New Roman"/>
          <w:b/>
          <w:sz w:val="24"/>
          <w:szCs w:val="24"/>
          <w:lang w:val="sq-AL"/>
        </w:rPr>
        <w:t>Rezultati i pritsh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>m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: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ab/>
      </w:r>
      <w:r w:rsidR="00187982" w:rsidRPr="00F43A57">
        <w:rPr>
          <w:rFonts w:ascii="Times New Roman" w:hAnsi="Times New Roman"/>
          <w:b/>
          <w:sz w:val="24"/>
          <w:szCs w:val="24"/>
          <w:lang w:val="sq-AL"/>
        </w:rPr>
        <w:t>Rritja e cil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187982" w:rsidRPr="00F43A57">
        <w:rPr>
          <w:rFonts w:ascii="Times New Roman" w:hAnsi="Times New Roman"/>
          <w:b/>
          <w:sz w:val="24"/>
          <w:szCs w:val="24"/>
          <w:lang w:val="sq-AL"/>
        </w:rPr>
        <w:t>sis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187982" w:rsidRPr="00F43A57">
        <w:rPr>
          <w:rFonts w:ascii="Times New Roman" w:hAnsi="Times New Roman"/>
          <w:b/>
          <w:sz w:val="24"/>
          <w:szCs w:val="24"/>
          <w:lang w:val="sq-AL"/>
        </w:rPr>
        <w:t xml:space="preserve"> s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187982" w:rsidRPr="00F43A57">
        <w:rPr>
          <w:rFonts w:ascii="Times New Roman" w:hAnsi="Times New Roman"/>
          <w:b/>
          <w:sz w:val="24"/>
          <w:szCs w:val="24"/>
          <w:lang w:val="sq-AL"/>
        </w:rPr>
        <w:t xml:space="preserve"> sh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187982" w:rsidRPr="00F43A57">
        <w:rPr>
          <w:rFonts w:ascii="Times New Roman" w:hAnsi="Times New Roman"/>
          <w:b/>
          <w:sz w:val="24"/>
          <w:szCs w:val="24"/>
          <w:lang w:val="sq-AL"/>
        </w:rPr>
        <w:t>rbimeve t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187982" w:rsidRPr="00F43A57">
        <w:rPr>
          <w:rFonts w:ascii="Times New Roman" w:hAnsi="Times New Roman"/>
          <w:b/>
          <w:sz w:val="24"/>
          <w:szCs w:val="24"/>
          <w:lang w:val="sq-AL"/>
        </w:rPr>
        <w:t xml:space="preserve"> kujdesit shoq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187982" w:rsidRPr="00F43A57">
        <w:rPr>
          <w:rFonts w:ascii="Times New Roman" w:hAnsi="Times New Roman"/>
          <w:b/>
          <w:sz w:val="24"/>
          <w:szCs w:val="24"/>
          <w:lang w:val="sq-AL"/>
        </w:rPr>
        <w:t>ror</w:t>
      </w:r>
      <w:r w:rsidR="005A057A" w:rsidRPr="00F43A57">
        <w:rPr>
          <w:rFonts w:ascii="Times New Roman" w:hAnsi="Times New Roman"/>
          <w:b/>
          <w:sz w:val="24"/>
          <w:szCs w:val="24"/>
          <w:lang w:val="sq-AL"/>
        </w:rPr>
        <w:t>, duke i ofruar zgjidhj</w:t>
      </w:r>
      <w:r w:rsidR="005A057A" w:rsidRPr="003D1A4C">
        <w:rPr>
          <w:rFonts w:ascii="Times New Roman" w:hAnsi="Times New Roman"/>
          <w:b/>
          <w:sz w:val="24"/>
          <w:szCs w:val="24"/>
          <w:lang w:val="sq-AL"/>
        </w:rPr>
        <w:t>e edhe rasteve që nuk trajtohen drejtpërdrejt nga QKSHD</w:t>
      </w:r>
    </w:p>
    <w:p w:rsidR="00FA2275" w:rsidRPr="003D1A4C" w:rsidRDefault="00FA2275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2632"/>
        <w:gridCol w:w="2632"/>
        <w:gridCol w:w="1722"/>
      </w:tblGrid>
      <w:tr w:rsidR="00EE1106" w:rsidRPr="003D1A4C" w:rsidTr="00EE1106">
        <w:tc>
          <w:tcPr>
            <w:tcW w:w="2590" w:type="dxa"/>
            <w:shd w:val="clear" w:color="auto" w:fill="0F243E"/>
          </w:tcPr>
          <w:p w:rsidR="00EE1106" w:rsidRPr="003D1A4C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D1A4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STANDARDI</w:t>
            </w:r>
          </w:p>
        </w:tc>
        <w:tc>
          <w:tcPr>
            <w:tcW w:w="2632" w:type="dxa"/>
            <w:shd w:val="clear" w:color="auto" w:fill="0F243E"/>
          </w:tcPr>
          <w:p w:rsidR="00EE1106" w:rsidRPr="003D1A4C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D1A4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KRITERET</w:t>
            </w:r>
          </w:p>
        </w:tc>
        <w:tc>
          <w:tcPr>
            <w:tcW w:w="2632" w:type="dxa"/>
            <w:shd w:val="clear" w:color="auto" w:fill="0F243E"/>
          </w:tcPr>
          <w:p w:rsidR="00EE1106" w:rsidRPr="003D1A4C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D1A4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E CILËSISË</w:t>
            </w:r>
          </w:p>
        </w:tc>
        <w:tc>
          <w:tcPr>
            <w:tcW w:w="1722" w:type="dxa"/>
            <w:shd w:val="clear" w:color="auto" w:fill="0F243E"/>
          </w:tcPr>
          <w:p w:rsidR="00EE1106" w:rsidRPr="003D1A4C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D1A4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REZULTATI I PRITSHËM</w:t>
            </w:r>
          </w:p>
        </w:tc>
      </w:tr>
      <w:tr w:rsidR="00EE1106" w:rsidRPr="00E97E55" w:rsidTr="00EE1106">
        <w:tc>
          <w:tcPr>
            <w:tcW w:w="2590" w:type="dxa"/>
            <w:vMerge w:val="restart"/>
            <w:shd w:val="clear" w:color="auto" w:fill="17365D"/>
          </w:tcPr>
          <w:p w:rsidR="00EE1106" w:rsidRPr="003D1A4C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D1A4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QKSHD funksionon në mënyrë shumëdisiplinore dhe ndërsektoriale</w:t>
            </w:r>
          </w:p>
        </w:tc>
        <w:tc>
          <w:tcPr>
            <w:tcW w:w="2632" w:type="dxa"/>
            <w:shd w:val="clear" w:color="auto" w:fill="C6D9F1"/>
          </w:tcPr>
          <w:p w:rsidR="00EE1106" w:rsidRPr="003D1A4C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D1A4C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QKSHD përfaqësohet në forume ndërinstitucionale dhe në takime për hartimin e politikave që zhvillohen në Bashki </w:t>
            </w:r>
          </w:p>
        </w:tc>
        <w:tc>
          <w:tcPr>
            <w:tcW w:w="2632" w:type="dxa"/>
            <w:shd w:val="clear" w:color="auto" w:fill="C6D9F1"/>
          </w:tcPr>
          <w:p w:rsidR="00EE1106" w:rsidRPr="003D1A4C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D1A4C">
              <w:rPr>
                <w:rFonts w:ascii="Times New Roman" w:hAnsi="Times New Roman"/>
                <w:sz w:val="20"/>
                <w:szCs w:val="20"/>
                <w:lang w:val="sq-AL"/>
              </w:rPr>
              <w:t>Numri i forumeve dhe i takimeve në nivel vendor, duke treguar edhe temat e tyre</w:t>
            </w:r>
          </w:p>
        </w:tc>
        <w:tc>
          <w:tcPr>
            <w:tcW w:w="1722" w:type="dxa"/>
            <w:vMerge w:val="restart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D1A4C">
              <w:rPr>
                <w:rFonts w:ascii="Times New Roman" w:hAnsi="Times New Roman"/>
                <w:sz w:val="20"/>
                <w:szCs w:val="20"/>
                <w:lang w:val="sq-AL"/>
              </w:rPr>
              <w:t>Rritja e cilësisë së shërbimeve të kujdesit shoqëror, duke i ofruar zgjidhje edhe rasteve që nuk trajtohen drejtpërdrejt nga QKSHD</w:t>
            </w:r>
          </w:p>
        </w:tc>
      </w:tr>
      <w:tr w:rsidR="00EE1106" w:rsidRPr="00E97E55" w:rsidTr="00EE1106">
        <w:tc>
          <w:tcPr>
            <w:tcW w:w="259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632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QKSHD merr pjesë në takime, si për hartimin dhe rishikimin e planeve të përkujdesit, të organizuara nga Njësia e Mbrojtjes së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 xml:space="preserve">Fëmijëve </w:t>
            </w:r>
          </w:p>
        </w:tc>
        <w:tc>
          <w:tcPr>
            <w:tcW w:w="2632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Numri i takimeve me NjMF-në dhe rezultati i kontributit tek hartimi dhe rishikimi i planeve</w:t>
            </w:r>
          </w:p>
        </w:tc>
        <w:tc>
          <w:tcPr>
            <w:tcW w:w="1722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59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632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Ka bashkërendim të rregullt midis QKSHD dhe agjencive/organizatave të tjera, i cili ndodh të paktën një herë në tre muaj, si dhe për raste individuale</w:t>
            </w:r>
          </w:p>
        </w:tc>
        <w:tc>
          <w:tcPr>
            <w:tcW w:w="2632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agjencive/organizatave me të cilat bashkëpunohet dhe kalendari i takimeve me to</w:t>
            </w:r>
          </w:p>
        </w:tc>
        <w:tc>
          <w:tcPr>
            <w:tcW w:w="1722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59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632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regjistër me kontaktet e organizatave dhe agjencive që punojnë në fushën përkatëse, që është e aksesueshme nga personeli dhe e përditësuar  </w:t>
            </w:r>
          </w:p>
        </w:tc>
        <w:tc>
          <w:tcPr>
            <w:tcW w:w="2632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Raportim mbi të dhënat e regjistrimit dhe numrin e agjencive</w:t>
            </w:r>
          </w:p>
        </w:tc>
        <w:tc>
          <w:tcPr>
            <w:tcW w:w="1722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59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632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Ekziston një mekanizëm për referimin në agjencitë e tjera dhe për ndjek</w:t>
            </w:r>
            <w:r w:rsidR="00411942">
              <w:rPr>
                <w:rFonts w:ascii="Times New Roman" w:hAnsi="Times New Roman"/>
                <w:sz w:val="20"/>
                <w:szCs w:val="20"/>
                <w:lang w:val="sq-AL"/>
              </w:rPr>
              <w:t>j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e të rasteve individuale </w:t>
            </w:r>
          </w:p>
        </w:tc>
        <w:tc>
          <w:tcPr>
            <w:tcW w:w="2632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rasteve të referuara në agjencitë e tjera</w:t>
            </w:r>
          </w:p>
        </w:tc>
        <w:tc>
          <w:tcPr>
            <w:tcW w:w="1722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59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632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Sipas nevojës, agjencitë e tjera përfshihen në vlerësimin, planifikimin dhe rishqyrtimin e rasteve </w:t>
            </w:r>
          </w:p>
        </w:tc>
        <w:tc>
          <w:tcPr>
            <w:tcW w:w="2632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takimeve me agjencitë e tjera për rastet konkrete</w:t>
            </w:r>
          </w:p>
        </w:tc>
        <w:tc>
          <w:tcPr>
            <w:tcW w:w="1722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59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632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Fëmijëve dhe familjeve iu ofrohen shërbime në mënyrë të bashkërenduar, shërbime këto të ofruara nga QKSHD dhe agjenci të tjera (kur është e nevojshme) </w:t>
            </w:r>
          </w:p>
        </w:tc>
        <w:tc>
          <w:tcPr>
            <w:tcW w:w="2632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shërbimeve të bashkërenduara</w:t>
            </w:r>
          </w:p>
        </w:tc>
        <w:tc>
          <w:tcPr>
            <w:tcW w:w="1722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</w:tbl>
    <w:p w:rsidR="005A057A" w:rsidRPr="00F43A57" w:rsidRDefault="005A057A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5A057A" w:rsidRPr="00F43A57" w:rsidRDefault="005A057A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5A057A" w:rsidRPr="00F43A57" w:rsidRDefault="005A057A" w:rsidP="005A057A">
      <w:pPr>
        <w:pStyle w:val="Heading2"/>
        <w:spacing w:after="0" w:line="240" w:lineRule="auto"/>
        <w:ind w:left="2880" w:hanging="2863"/>
        <w:jc w:val="both"/>
        <w:rPr>
          <w:rFonts w:ascii="Times New Roman" w:hAnsi="Times New Roman"/>
          <w:sz w:val="24"/>
          <w:szCs w:val="24"/>
          <w:lang w:val="sq-AL" w:eastAsia="sl-SI"/>
        </w:rPr>
      </w:pPr>
      <w:r w:rsidRPr="00F43A57">
        <w:rPr>
          <w:rFonts w:ascii="Times New Roman" w:hAnsi="Times New Roman"/>
          <w:sz w:val="24"/>
          <w:szCs w:val="24"/>
          <w:lang w:val="sq-AL"/>
        </w:rPr>
        <w:t xml:space="preserve">STANDARDI 4: </w:t>
      </w:r>
      <w:r w:rsidRPr="00F43A57">
        <w:rPr>
          <w:rFonts w:ascii="Times New Roman" w:hAnsi="Times New Roman"/>
          <w:sz w:val="24"/>
          <w:szCs w:val="24"/>
          <w:lang w:val="sq-AL"/>
        </w:rPr>
        <w:tab/>
      </w:r>
      <w:r w:rsidR="00A70E79" w:rsidRPr="00F43A57">
        <w:rPr>
          <w:rFonts w:ascii="Times New Roman" w:hAnsi="Times New Roman"/>
          <w:sz w:val="24"/>
          <w:szCs w:val="24"/>
          <w:lang w:val="sq-AL"/>
        </w:rPr>
        <w:t>P</w:t>
      </w:r>
      <w:r w:rsidRPr="00F43A57">
        <w:rPr>
          <w:rFonts w:ascii="Times New Roman" w:hAnsi="Times New Roman"/>
          <w:sz w:val="24"/>
          <w:szCs w:val="24"/>
          <w:lang w:val="sq-AL"/>
        </w:rPr>
        <w:t>ër rastet individuale, QKSHD aplikon “qasjen e menaxhimit të rastit” për t’u siguruar që mbështetja është e gjithanshme, e plotë dhe e përshtatshme</w:t>
      </w:r>
      <w:r w:rsidRPr="00F43A57">
        <w:rPr>
          <w:rFonts w:ascii="Times New Roman" w:hAnsi="Times New Roman"/>
          <w:sz w:val="24"/>
          <w:szCs w:val="24"/>
          <w:lang w:val="sq-AL" w:eastAsia="sl-SI"/>
        </w:rPr>
        <w:t>.</w:t>
      </w:r>
    </w:p>
    <w:p w:rsidR="005A057A" w:rsidRPr="00F43A57" w:rsidRDefault="005A057A" w:rsidP="005A057A">
      <w:pPr>
        <w:pStyle w:val="Heading2"/>
        <w:spacing w:after="0" w:line="240" w:lineRule="auto"/>
        <w:ind w:left="1440" w:hanging="1423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A057A" w:rsidRPr="00F43A57" w:rsidRDefault="005A057A" w:rsidP="005A057A">
      <w:pPr>
        <w:pStyle w:val="Heading2"/>
        <w:spacing w:after="0" w:line="240" w:lineRule="auto"/>
        <w:ind w:left="2880" w:hanging="2863"/>
        <w:jc w:val="both"/>
        <w:rPr>
          <w:rFonts w:ascii="Times New Roman" w:hAnsi="Times New Roman"/>
          <w:sz w:val="24"/>
          <w:szCs w:val="24"/>
          <w:lang w:val="sq-AL"/>
        </w:rPr>
      </w:pPr>
      <w:r w:rsidRPr="00F43A57">
        <w:rPr>
          <w:rFonts w:ascii="Times New Roman" w:hAnsi="Times New Roman"/>
          <w:sz w:val="24"/>
          <w:szCs w:val="24"/>
          <w:lang w:val="sq-AL"/>
        </w:rPr>
        <w:t>Rezultati i pritsh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m: </w:t>
      </w:r>
      <w:r w:rsidRPr="00F43A57">
        <w:rPr>
          <w:rFonts w:ascii="Times New Roman" w:hAnsi="Times New Roman"/>
          <w:sz w:val="24"/>
          <w:szCs w:val="24"/>
          <w:lang w:val="sq-AL"/>
        </w:rPr>
        <w:tab/>
        <w:t>Rastet individuale menaxhohen n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nyr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sore, duke qen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plota dhe t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43A57" w:rsidRPr="00F43A57">
        <w:rPr>
          <w:rFonts w:ascii="Times New Roman" w:hAnsi="Times New Roman"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sz w:val="24"/>
          <w:szCs w:val="24"/>
          <w:lang w:val="sq-AL"/>
        </w:rPr>
        <w:t>rshtatshme</w:t>
      </w:r>
    </w:p>
    <w:p w:rsidR="002739BC" w:rsidRPr="00F43A57" w:rsidRDefault="002739BC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2739BC" w:rsidRPr="00F43A57" w:rsidRDefault="002739BC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9"/>
        <w:gridCol w:w="2567"/>
        <w:gridCol w:w="2646"/>
        <w:gridCol w:w="1864"/>
      </w:tblGrid>
      <w:tr w:rsidR="00EE1106" w:rsidRPr="00E97E55" w:rsidTr="00EE1106">
        <w:tc>
          <w:tcPr>
            <w:tcW w:w="2499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STANDARDI</w:t>
            </w:r>
          </w:p>
        </w:tc>
        <w:tc>
          <w:tcPr>
            <w:tcW w:w="2567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KRITERET</w:t>
            </w:r>
          </w:p>
        </w:tc>
        <w:tc>
          <w:tcPr>
            <w:tcW w:w="2646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E CILËSISË</w:t>
            </w:r>
          </w:p>
        </w:tc>
        <w:tc>
          <w:tcPr>
            <w:tcW w:w="1864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E110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REZULTATI I PRITSHËM</w:t>
            </w:r>
          </w:p>
        </w:tc>
      </w:tr>
      <w:tr w:rsidR="00EE1106" w:rsidRPr="00E97E55" w:rsidTr="00EE1106">
        <w:tc>
          <w:tcPr>
            <w:tcW w:w="2499" w:type="dxa"/>
            <w:vMerge w:val="restart"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 rastet individuale, QKSHD aplikon “qasjen e menaxhimit të rastit” për t’u siguruar që mbështetja është e gjithanshme, e plotë dhe e përshtatshme</w:t>
            </w:r>
          </w:p>
        </w:tc>
        <w:tc>
          <w:tcPr>
            <w:tcW w:w="2567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Të gjitha referimet e bëra nga QKSHD shqyrtohen brenda 24 orëve dhe merret një vendim nëse referimi është i duhuri </w:t>
            </w:r>
          </w:p>
        </w:tc>
        <w:tc>
          <w:tcPr>
            <w:tcW w:w="2646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referimeve dhe numri i ҁështjeve të shqyrtuara brenda afatit</w:t>
            </w:r>
          </w:p>
        </w:tc>
        <w:tc>
          <w:tcPr>
            <w:tcW w:w="1864" w:type="dxa"/>
            <w:vMerge w:val="restart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E1106">
              <w:rPr>
                <w:rFonts w:ascii="Times New Roman" w:hAnsi="Times New Roman"/>
                <w:sz w:val="20"/>
                <w:szCs w:val="20"/>
                <w:lang w:val="sq-AL"/>
              </w:rPr>
              <w:t>Rastet individuale menaxhohen në mënyrë të cilësore, duke qenë të plota dhe të përshtatshme</w:t>
            </w: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Të gjitha familjet/përdoruesit individualë të shërbimit janë të regjistruar dhe u jepet një numër identifikimi unik</w:t>
            </w:r>
          </w:p>
        </w:tc>
        <w:tc>
          <w:tcPr>
            <w:tcW w:w="2646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të regjistruarve me NUP</w:t>
            </w:r>
          </w:p>
        </w:tc>
        <w:tc>
          <w:tcPr>
            <w:tcW w:w="186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regjistër qendror të të gjithë përdoruesve të shërbimeve me detaje për hapjen dhe mbylljen e rasteve </w:t>
            </w:r>
          </w:p>
        </w:tc>
        <w:tc>
          <w:tcPr>
            <w:tcW w:w="2646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Raportim mbi mënyrën e regjistrimit</w:t>
            </w:r>
          </w:p>
        </w:tc>
        <w:tc>
          <w:tcPr>
            <w:tcW w:w="186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Vlerësimet regjistrohen në dosje </w:t>
            </w:r>
          </w:p>
        </w:tc>
        <w:tc>
          <w:tcPr>
            <w:tcW w:w="2646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86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Vlerësimi fillestar përfundon brenda 72 orëve </w:t>
            </w:r>
          </w:p>
        </w:tc>
        <w:tc>
          <w:tcPr>
            <w:tcW w:w="2646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86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Vlerësimi i plotë  përfundon brenda 20 ditë pune nëse është e nevojshme </w:t>
            </w:r>
          </w:p>
        </w:tc>
        <w:tc>
          <w:tcPr>
            <w:tcW w:w="2646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86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Një plan hartohet brenda 7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ditëve që nga përfundimi i vlerësimit dhe regjistrimi i tij në dosje</w:t>
            </w:r>
          </w:p>
        </w:tc>
        <w:tc>
          <w:tcPr>
            <w:tcW w:w="2646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 xml:space="preserve">Raportet e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kontrollit/monitorimit</w:t>
            </w:r>
          </w:p>
        </w:tc>
        <w:tc>
          <w:tcPr>
            <w:tcW w:w="186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Planet janë të qarta dhe të detajuara mbi shërbimet që do të jepen, nga kush dhe kur </w:t>
            </w:r>
          </w:p>
        </w:tc>
        <w:tc>
          <w:tcPr>
            <w:tcW w:w="2646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86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Së bashku </w:t>
            </w:r>
            <w:r w:rsidR="00411942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me agjenci të tjera, përdoruesit e shërbimeve janë të përfshirë në vlerësim dhe planifikim </w:t>
            </w:r>
          </w:p>
        </w:tc>
        <w:tc>
          <w:tcPr>
            <w:tcW w:w="2646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rasteve gjithsej dhe numri i rasteve ku janë përfshirë përdoruesit</w:t>
            </w:r>
          </w:p>
        </w:tc>
        <w:tc>
          <w:tcPr>
            <w:tcW w:w="186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Përdoruesit e shërbimeve marrin shërbime bazuar te nevojat e identifikuara nëpërmjet vlerësimeve </w:t>
            </w:r>
          </w:p>
        </w:tc>
        <w:tc>
          <w:tcPr>
            <w:tcW w:w="2646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86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Referimet bëhen edhe në agjenci të tjera dhe regjistrohen me shkrim nëse është e nevojshme </w:t>
            </w:r>
          </w:p>
        </w:tc>
        <w:tc>
          <w:tcPr>
            <w:tcW w:w="2646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referimeve tek agjencitë e tjera</w:t>
            </w:r>
          </w:p>
        </w:tc>
        <w:tc>
          <w:tcPr>
            <w:tcW w:w="186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Çdo referim ndiqet rregullisht  </w:t>
            </w:r>
          </w:p>
        </w:tc>
        <w:tc>
          <w:tcPr>
            <w:tcW w:w="2646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86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Planet rishikohen të paktën çdo tre muaj dhe plani i rishikuar vendoset në dosje </w:t>
            </w:r>
          </w:p>
        </w:tc>
        <w:tc>
          <w:tcPr>
            <w:tcW w:w="2646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86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Rastet mbyllen në konsultim me përdoruesit e shërbimeve dhe agjencitë e tjera të përfshira në menaxhim rasti, si dhe në dakordësi me menaxherin e QKSHD </w:t>
            </w:r>
          </w:p>
        </w:tc>
        <w:tc>
          <w:tcPr>
            <w:tcW w:w="2646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rasteve të mbyllura gjithsej dhe raportim mbi agjencitë e përfshira</w:t>
            </w:r>
          </w:p>
        </w:tc>
        <w:tc>
          <w:tcPr>
            <w:tcW w:w="186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99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7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Të gjitha dosjet janë të plota, të përditësuara dhe mbahen në përputhje me standardet e mbajtjes së të dhënave (shih Standardin 1 ) </w:t>
            </w:r>
          </w:p>
        </w:tc>
        <w:tc>
          <w:tcPr>
            <w:tcW w:w="2646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86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</w:tbl>
    <w:p w:rsidR="002739BC" w:rsidRPr="00F43A57" w:rsidRDefault="002739BC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A70E79" w:rsidRPr="00F43A57" w:rsidRDefault="00A70E79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A70E79" w:rsidRPr="00F43A57" w:rsidRDefault="00A70E79" w:rsidP="007E2EAD">
      <w:pPr>
        <w:spacing w:after="0" w:line="240" w:lineRule="auto"/>
        <w:ind w:left="2880" w:hanging="288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3A57">
        <w:rPr>
          <w:rFonts w:ascii="Times New Roman" w:hAnsi="Times New Roman"/>
          <w:b/>
          <w:sz w:val="24"/>
          <w:szCs w:val="24"/>
          <w:lang w:val="sq-AL"/>
        </w:rPr>
        <w:t>STANDARDI 5:</w:t>
      </w:r>
      <w:r w:rsidRPr="00F43A57">
        <w:rPr>
          <w:rFonts w:ascii="Times New Roman" w:hAnsi="Times New Roman"/>
          <w:b/>
          <w:lang w:val="sq-AL"/>
        </w:rPr>
        <w:t xml:space="preserve"> </w:t>
      </w:r>
      <w:r w:rsidR="007E2EAD" w:rsidRPr="00F43A57">
        <w:rPr>
          <w:rFonts w:ascii="Times New Roman" w:hAnsi="Times New Roman"/>
          <w:b/>
          <w:lang w:val="sq-AL"/>
        </w:rPr>
        <w:tab/>
      </w:r>
      <w:r w:rsidRPr="00F43A57">
        <w:rPr>
          <w:rFonts w:ascii="Times New Roman" w:hAnsi="Times New Roman"/>
          <w:b/>
          <w:lang w:val="sq-AL"/>
        </w:rPr>
        <w:t>QKSHD është proaktive dhe e aksesueshme në mënyrën si vepron dhe se si i ofron shërbimet</w:t>
      </w:r>
    </w:p>
    <w:p w:rsidR="002739BC" w:rsidRPr="00F43A57" w:rsidRDefault="002739BC" w:rsidP="007E2E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70E79" w:rsidRPr="00F43A57" w:rsidRDefault="00A70E79" w:rsidP="007E2EAD">
      <w:pPr>
        <w:spacing w:after="0" w:line="240" w:lineRule="auto"/>
        <w:ind w:left="2880" w:hanging="288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3A57">
        <w:rPr>
          <w:rFonts w:ascii="Times New Roman" w:hAnsi="Times New Roman"/>
          <w:b/>
          <w:sz w:val="24"/>
          <w:szCs w:val="24"/>
          <w:lang w:val="sq-AL"/>
        </w:rPr>
        <w:t>Rezultati i pritsh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>m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>: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ab/>
        <w:t>Rastet individuale trajtohen p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>r t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 xml:space="preserve"> gjith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 xml:space="preserve"> an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>tar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>t e komunitetit n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 xml:space="preserve"> koh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>n dhe cil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>sin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="007E2EAD" w:rsidRPr="00F43A57">
        <w:rPr>
          <w:rFonts w:ascii="Times New Roman" w:hAnsi="Times New Roman"/>
          <w:b/>
          <w:sz w:val="24"/>
          <w:szCs w:val="24"/>
          <w:lang w:val="sq-AL"/>
        </w:rPr>
        <w:t xml:space="preserve"> e duhur</w:t>
      </w:r>
    </w:p>
    <w:p w:rsidR="00A70E79" w:rsidRPr="00F43A57" w:rsidRDefault="00A70E79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2489"/>
        <w:gridCol w:w="2663"/>
        <w:gridCol w:w="1904"/>
      </w:tblGrid>
      <w:tr w:rsidR="00EE1106" w:rsidRPr="00E97E55" w:rsidTr="00EE1106">
        <w:tc>
          <w:tcPr>
            <w:tcW w:w="2520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STANDARDI</w:t>
            </w:r>
          </w:p>
        </w:tc>
        <w:tc>
          <w:tcPr>
            <w:tcW w:w="2489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KRITERET</w:t>
            </w:r>
          </w:p>
        </w:tc>
        <w:tc>
          <w:tcPr>
            <w:tcW w:w="2663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E CILËSISË</w:t>
            </w:r>
          </w:p>
        </w:tc>
        <w:tc>
          <w:tcPr>
            <w:tcW w:w="1904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E110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REZULTATI I PRITSHËM</w:t>
            </w:r>
          </w:p>
        </w:tc>
      </w:tr>
      <w:tr w:rsidR="00EE1106" w:rsidRPr="00E97E55" w:rsidTr="00EE1106">
        <w:tc>
          <w:tcPr>
            <w:tcW w:w="2520" w:type="dxa"/>
            <w:vMerge w:val="restart"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QKSHD është proaktive dhe e aksesueshme në mënyrën si vepron dhe se si i ofron shërbimet</w:t>
            </w:r>
          </w:p>
        </w:tc>
        <w:tc>
          <w:tcPr>
            <w:tcW w:w="2489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Vendndodhja dhe orari i punës së qendrës janë të përshtatshme për komunitetin </w:t>
            </w:r>
          </w:p>
        </w:tc>
        <w:tc>
          <w:tcPr>
            <w:tcW w:w="2663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 dhe ankesat nëse ka</w:t>
            </w:r>
          </w:p>
        </w:tc>
        <w:tc>
          <w:tcPr>
            <w:tcW w:w="1904" w:type="dxa"/>
            <w:vMerge w:val="restart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E1106">
              <w:rPr>
                <w:rFonts w:ascii="Times New Roman" w:hAnsi="Times New Roman"/>
                <w:sz w:val="20"/>
                <w:szCs w:val="20"/>
                <w:lang w:val="sq-AL"/>
              </w:rPr>
              <w:t>Rastet individuale trajtohen për të gjithë anëtarët e komunitetit në kohën dhe cilësinë e duhur</w:t>
            </w:r>
          </w:p>
        </w:tc>
      </w:tr>
      <w:tr w:rsidR="00EE1106" w:rsidRPr="00E97E55" w:rsidTr="00EE1106">
        <w:tc>
          <w:tcPr>
            <w:tcW w:w="252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489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Qendra është e hapur dhe me personel gjatë kohës së punës</w:t>
            </w:r>
          </w:p>
        </w:tc>
        <w:tc>
          <w:tcPr>
            <w:tcW w:w="2663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 dhe ankesat nëse ka</w:t>
            </w:r>
          </w:p>
        </w:tc>
        <w:tc>
          <w:tcPr>
            <w:tcW w:w="190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52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489" w:type="dxa"/>
            <w:shd w:val="clear" w:color="auto" w:fill="C6D9F1"/>
          </w:tcPr>
          <w:p w:rsidR="00EE1106" w:rsidRPr="00E97E55" w:rsidRDefault="00EE1106" w:rsidP="00411942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Ka një grup që ofron shërbim për ndjekjen e rasteve në shtëpi dhe që mbështet rastet për të pasur akses në shërbime </w:t>
            </w:r>
          </w:p>
        </w:tc>
        <w:tc>
          <w:tcPr>
            <w:tcW w:w="2663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Raportim mbi punonjësit në grup</w:t>
            </w:r>
          </w:p>
        </w:tc>
        <w:tc>
          <w:tcPr>
            <w:tcW w:w="190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52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489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Nëse qendra nuk është e aksesueshme për anëtarët e komunitetit, sigurohet shërbim telefonik </w:t>
            </w:r>
          </w:p>
        </w:tc>
        <w:tc>
          <w:tcPr>
            <w:tcW w:w="2663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Raport mbi shërbimin telefonik, nëse </w:t>
            </w:r>
            <w:r w:rsidRPr="00E97E55">
              <w:rPr>
                <w:rFonts w:ascii="Times New Roman" w:hAnsi="Times New Roman"/>
                <w:sz w:val="20"/>
                <w:szCs w:val="20"/>
                <w:shd w:val="clear" w:color="auto" w:fill="8DB3E2"/>
                <w:lang w:val="sq-AL"/>
              </w:rPr>
              <w:t>është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rasti</w:t>
            </w:r>
          </w:p>
        </w:tc>
        <w:tc>
          <w:tcPr>
            <w:tcW w:w="1904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520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489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Gjatë zhvillimit të aktiviteteve në qendër dhe </w:t>
            </w: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 xml:space="preserve">jashtë saj, përfshirë dhe shërbimin jashtë qendrës dhe atë telefonik, merret parasysh siguria e personelit dhe hartohen plane për të zbutur/shmangur rreziqet   </w:t>
            </w:r>
          </w:p>
        </w:tc>
        <w:tc>
          <w:tcPr>
            <w:tcW w:w="2663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Kopje të planeve të hartuara</w:t>
            </w:r>
          </w:p>
        </w:tc>
        <w:tc>
          <w:tcPr>
            <w:tcW w:w="1904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</w:tbl>
    <w:p w:rsidR="00A70E79" w:rsidRPr="00F43A57" w:rsidRDefault="00A70E79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2739BC" w:rsidRPr="00F43A57" w:rsidRDefault="002739BC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7E2EAD" w:rsidRPr="00F43A57" w:rsidRDefault="007E2EAD" w:rsidP="007E2EAD">
      <w:pPr>
        <w:spacing w:after="0" w:line="240" w:lineRule="auto"/>
        <w:ind w:left="2880" w:hanging="288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3A57">
        <w:rPr>
          <w:rFonts w:ascii="Times New Roman" w:hAnsi="Times New Roman"/>
          <w:b/>
          <w:sz w:val="24"/>
          <w:szCs w:val="24"/>
          <w:lang w:val="sq-AL"/>
        </w:rPr>
        <w:t xml:space="preserve">STANDARDI 6: 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ab/>
        <w:t>QKSHD ofron një gamë shërbimesh që janë të përshtatshme, të duhura dhe të sigurta</w:t>
      </w:r>
    </w:p>
    <w:p w:rsidR="007E2EAD" w:rsidRPr="00F43A57" w:rsidRDefault="007E2EAD" w:rsidP="00946D62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7E2EAD" w:rsidRPr="00F43A57" w:rsidRDefault="007E2EAD" w:rsidP="007E2EAD">
      <w:pPr>
        <w:spacing w:after="0" w:line="240" w:lineRule="auto"/>
        <w:ind w:left="2880" w:hanging="2880"/>
        <w:rPr>
          <w:rFonts w:ascii="Times New Roman" w:hAnsi="Times New Roman"/>
          <w:b/>
          <w:sz w:val="24"/>
          <w:szCs w:val="24"/>
          <w:lang w:val="sq-AL"/>
        </w:rPr>
      </w:pPr>
      <w:r w:rsidRPr="00F43A57">
        <w:rPr>
          <w:rFonts w:ascii="Times New Roman" w:hAnsi="Times New Roman"/>
          <w:b/>
          <w:sz w:val="24"/>
          <w:szCs w:val="24"/>
          <w:lang w:val="sq-AL"/>
        </w:rPr>
        <w:t>Rezultati i pritsh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 xml:space="preserve">m: 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ab/>
        <w:t>An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>tar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>ve t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 xml:space="preserve"> komunitetit i ofrohen sh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>rbime cil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>sore, p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>r t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43A57">
        <w:rPr>
          <w:rFonts w:ascii="Times New Roman" w:hAnsi="Times New Roman"/>
          <w:b/>
          <w:sz w:val="24"/>
          <w:szCs w:val="24"/>
          <w:lang w:val="sq-AL"/>
        </w:rPr>
        <w:t xml:space="preserve"> cilat ka nevoj</w:t>
      </w:r>
      <w:r w:rsidR="00F43A57" w:rsidRPr="00F43A57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7E2EAD" w:rsidRPr="00F43A57" w:rsidRDefault="007E2EAD" w:rsidP="00946D62">
      <w:pPr>
        <w:spacing w:after="0" w:line="240" w:lineRule="auto"/>
        <w:rPr>
          <w:rFonts w:ascii="Times New Roman" w:hAnsi="Times New Roman"/>
          <w:lang w:val="sq-AL"/>
        </w:rPr>
      </w:pPr>
    </w:p>
    <w:p w:rsidR="007E2EAD" w:rsidRPr="00F43A57" w:rsidRDefault="007E2EAD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2"/>
        <w:gridCol w:w="2691"/>
        <w:gridCol w:w="2618"/>
        <w:gridCol w:w="1795"/>
      </w:tblGrid>
      <w:tr w:rsidR="00EE1106" w:rsidRPr="00E97E55" w:rsidTr="00EE1106">
        <w:tc>
          <w:tcPr>
            <w:tcW w:w="2472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STANDARDI</w:t>
            </w:r>
          </w:p>
        </w:tc>
        <w:tc>
          <w:tcPr>
            <w:tcW w:w="2691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KRITERET</w:t>
            </w:r>
          </w:p>
        </w:tc>
        <w:tc>
          <w:tcPr>
            <w:tcW w:w="2618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TREGUESIT E CILËSISË</w:t>
            </w:r>
          </w:p>
        </w:tc>
        <w:tc>
          <w:tcPr>
            <w:tcW w:w="1795" w:type="dxa"/>
            <w:shd w:val="clear" w:color="auto" w:fill="0F243E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E1106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REZULTATI I PRITSHËM</w:t>
            </w:r>
          </w:p>
        </w:tc>
      </w:tr>
      <w:tr w:rsidR="00EE1106" w:rsidRPr="00E97E55" w:rsidTr="00EE1106">
        <w:tc>
          <w:tcPr>
            <w:tcW w:w="2472" w:type="dxa"/>
            <w:vMerge w:val="restart"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97E5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QKSHD ofron një gamë shërbimesh që janë të përshtatshme, të duhura dhe të sigurta</w:t>
            </w:r>
          </w:p>
        </w:tc>
        <w:tc>
          <w:tcPr>
            <w:tcW w:w="2691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Të gjitha shërbimet kryesore janë të siguruara   </w:t>
            </w:r>
          </w:p>
        </w:tc>
        <w:tc>
          <w:tcPr>
            <w:tcW w:w="2618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Lloji i shërbimeve kryesore që ofron qendra</w:t>
            </w:r>
          </w:p>
        </w:tc>
        <w:tc>
          <w:tcPr>
            <w:tcW w:w="1795" w:type="dxa"/>
            <w:vMerge w:val="restart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E1106">
              <w:rPr>
                <w:rFonts w:ascii="Times New Roman" w:hAnsi="Times New Roman"/>
                <w:sz w:val="20"/>
                <w:szCs w:val="20"/>
                <w:lang w:val="sq-AL"/>
              </w:rPr>
              <w:t>Anëtarëve të komunitetit i ofrohen shërbime cilësore, për të cilat ka nevojë</w:t>
            </w: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Shërbimet dytësore sigurohen në rastet që edhe burimet janë të disponueshme </w:t>
            </w:r>
          </w:p>
        </w:tc>
        <w:tc>
          <w:tcPr>
            <w:tcW w:w="2618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Lloji i shërbimeve dytësore që ofron qendra</w:t>
            </w:r>
          </w:p>
        </w:tc>
        <w:tc>
          <w:tcPr>
            <w:tcW w:w="1795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Shërbime shtesë sigurohen në bazë të identifikimit të nevojave të komunitetit </w:t>
            </w:r>
          </w:p>
        </w:tc>
        <w:tc>
          <w:tcPr>
            <w:tcW w:w="2618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dhe lloji i shërbimeve shtesë të ofruara</w:t>
            </w:r>
          </w:p>
        </w:tc>
        <w:tc>
          <w:tcPr>
            <w:tcW w:w="1795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QKSHD ka një kalendar të aktiviteteve/shërbimeve që ofrohen, të cilat ofrohen në mënyrë të strukturuar </w:t>
            </w:r>
          </w:p>
        </w:tc>
        <w:tc>
          <w:tcPr>
            <w:tcW w:w="2618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Paraqitje periodike e kalendarit</w:t>
            </w:r>
          </w:p>
        </w:tc>
        <w:tc>
          <w:tcPr>
            <w:tcW w:w="1795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Çdo aktivitet/program që ofrohet ka objektiva dhe plane të qarta (p.sh. grupet kanë kurrikula/programe)</w:t>
            </w:r>
          </w:p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618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795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Ofrohet një gamë shërbimesh duke filluar nga qendra ditore deri te sesionet individuale dhe puna në grup </w:t>
            </w:r>
          </w:p>
        </w:tc>
        <w:tc>
          <w:tcPr>
            <w:tcW w:w="2618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Lloji i shërbimeve të ofruara</w:t>
            </w:r>
          </w:p>
        </w:tc>
        <w:tc>
          <w:tcPr>
            <w:tcW w:w="1795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Shërbimet/programet zbatohen nga punonjës që kanë aftësinë dhe përvojën e duhur </w:t>
            </w:r>
          </w:p>
        </w:tc>
        <w:tc>
          <w:tcPr>
            <w:tcW w:w="2618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Jetëshkrimet e punonjësve që ofrojnë shërbimet</w:t>
            </w:r>
          </w:p>
        </w:tc>
        <w:tc>
          <w:tcPr>
            <w:tcW w:w="1795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Një vlerësim i riskut ndërmerret për të gjitha aktivitetet/programet për të siguruar që ato janë të sigurta për përdoruesit e shërbimeve dhe personelin </w:t>
            </w:r>
          </w:p>
        </w:tc>
        <w:tc>
          <w:tcPr>
            <w:tcW w:w="2618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Kopje të analizave të riskut</w:t>
            </w:r>
          </w:p>
        </w:tc>
        <w:tc>
          <w:tcPr>
            <w:tcW w:w="1795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Çdo pajisje/burim kontrollohet që të jetë i sigurt </w:t>
            </w:r>
          </w:p>
        </w:tc>
        <w:tc>
          <w:tcPr>
            <w:tcW w:w="2618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periodike të kontrolleve të sigurisë</w:t>
            </w:r>
          </w:p>
        </w:tc>
        <w:tc>
          <w:tcPr>
            <w:tcW w:w="1795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Fëmijët nuk lihen asnjëherë pa mbikëqyrje  </w:t>
            </w:r>
          </w:p>
        </w:tc>
        <w:tc>
          <w:tcPr>
            <w:tcW w:w="2618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kontrollit/monitorimit</w:t>
            </w:r>
          </w:p>
        </w:tc>
        <w:tc>
          <w:tcPr>
            <w:tcW w:w="1795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8DB3E2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Prindërit dhe fëmijët japin leje me shkrim për të marrë pjesë në aktivitete </w:t>
            </w:r>
          </w:p>
        </w:tc>
        <w:tc>
          <w:tcPr>
            <w:tcW w:w="2618" w:type="dxa"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Numri i aktiviteteve të zhvilluara dhe i lejeve të marra</w:t>
            </w:r>
          </w:p>
        </w:tc>
        <w:tc>
          <w:tcPr>
            <w:tcW w:w="1795" w:type="dxa"/>
            <w:vMerge/>
            <w:shd w:val="clear" w:color="auto" w:fill="8DB3E2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EE1106" w:rsidRPr="00E97E55" w:rsidTr="00EE1106">
        <w:tc>
          <w:tcPr>
            <w:tcW w:w="2472" w:type="dxa"/>
            <w:vMerge/>
            <w:shd w:val="clear" w:color="auto" w:fill="17365D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91" w:type="dxa"/>
            <w:shd w:val="clear" w:color="auto" w:fill="C6D9F1"/>
          </w:tcPr>
          <w:p w:rsidR="00EE1106" w:rsidRPr="00E97E55" w:rsidRDefault="00EE1106" w:rsidP="007E2EAD">
            <w:pPr>
              <w:pStyle w:val="NoSpacing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Media, etj., nuk përfshihen në shërbime apo aktivitete, si dhe nuk bëhen apo shpërndahen fotografi pa lejen e përdoruesve të shërbimeve </w:t>
            </w:r>
          </w:p>
        </w:tc>
        <w:tc>
          <w:tcPr>
            <w:tcW w:w="2618" w:type="dxa"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E97E55">
              <w:rPr>
                <w:rFonts w:ascii="Times New Roman" w:hAnsi="Times New Roman"/>
                <w:sz w:val="20"/>
                <w:szCs w:val="20"/>
                <w:lang w:val="sq-AL"/>
              </w:rPr>
              <w:t>Raportet e kontrollit monitorimit</w:t>
            </w:r>
          </w:p>
        </w:tc>
        <w:tc>
          <w:tcPr>
            <w:tcW w:w="1795" w:type="dxa"/>
            <w:vMerge/>
            <w:shd w:val="clear" w:color="auto" w:fill="C6D9F1"/>
          </w:tcPr>
          <w:p w:rsidR="00EE1106" w:rsidRPr="00E97E55" w:rsidRDefault="00EE1106" w:rsidP="00E97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</w:tbl>
    <w:p w:rsidR="007E2EAD" w:rsidRPr="00F43A57" w:rsidRDefault="007E2EAD" w:rsidP="00946D62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2739BC" w:rsidRDefault="002739BC" w:rsidP="00411942">
      <w:pPr>
        <w:spacing w:after="0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sectPr w:rsidR="002739BC" w:rsidSect="00F43A57">
      <w:pgSz w:w="12240" w:h="15840" w:code="1"/>
      <w:pgMar w:top="675" w:right="1440" w:bottom="431" w:left="1440" w:header="431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871"/>
    <w:multiLevelType w:val="hybridMultilevel"/>
    <w:tmpl w:val="86F01E58"/>
    <w:lvl w:ilvl="0" w:tplc="5EC413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F35FD"/>
    <w:multiLevelType w:val="hybridMultilevel"/>
    <w:tmpl w:val="E04EB316"/>
    <w:lvl w:ilvl="0" w:tplc="F294B3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E40AA"/>
    <w:multiLevelType w:val="hybridMultilevel"/>
    <w:tmpl w:val="5558A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73535"/>
    <w:multiLevelType w:val="hybridMultilevel"/>
    <w:tmpl w:val="8B1C273A"/>
    <w:lvl w:ilvl="0" w:tplc="AFB2D1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4502C"/>
    <w:multiLevelType w:val="hybridMultilevel"/>
    <w:tmpl w:val="C9B817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75C04"/>
    <w:multiLevelType w:val="hybridMultilevel"/>
    <w:tmpl w:val="9104E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C35C5"/>
    <w:multiLevelType w:val="hybridMultilevel"/>
    <w:tmpl w:val="5AE4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33600"/>
    <w:multiLevelType w:val="hybridMultilevel"/>
    <w:tmpl w:val="67C443F0"/>
    <w:lvl w:ilvl="0" w:tplc="A08A7078">
      <w:start w:val="1"/>
      <w:numFmt w:val="decimal"/>
      <w:lvlText w:val="%1."/>
      <w:lvlJc w:val="left"/>
      <w:pPr>
        <w:ind w:left="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8CBE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6DBE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82128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C84DA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EA53B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C6F7F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D6599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0449D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954763"/>
    <w:multiLevelType w:val="hybridMultilevel"/>
    <w:tmpl w:val="D0107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7F"/>
    <w:rsid w:val="00014B85"/>
    <w:rsid w:val="00027F70"/>
    <w:rsid w:val="0003165E"/>
    <w:rsid w:val="00032175"/>
    <w:rsid w:val="0005332C"/>
    <w:rsid w:val="00097952"/>
    <w:rsid w:val="000C6B82"/>
    <w:rsid w:val="000F17A6"/>
    <w:rsid w:val="00132F0E"/>
    <w:rsid w:val="00174C3A"/>
    <w:rsid w:val="00187982"/>
    <w:rsid w:val="00195A24"/>
    <w:rsid w:val="001B0411"/>
    <w:rsid w:val="001F6A31"/>
    <w:rsid w:val="00220E0D"/>
    <w:rsid w:val="002739BC"/>
    <w:rsid w:val="0028383F"/>
    <w:rsid w:val="00284A01"/>
    <w:rsid w:val="002D06BA"/>
    <w:rsid w:val="002E1936"/>
    <w:rsid w:val="002E4A8A"/>
    <w:rsid w:val="002F4860"/>
    <w:rsid w:val="00334178"/>
    <w:rsid w:val="003D1A4C"/>
    <w:rsid w:val="00411942"/>
    <w:rsid w:val="004D3819"/>
    <w:rsid w:val="00517087"/>
    <w:rsid w:val="00546623"/>
    <w:rsid w:val="005940E2"/>
    <w:rsid w:val="005A057A"/>
    <w:rsid w:val="005C2B4D"/>
    <w:rsid w:val="005E5B15"/>
    <w:rsid w:val="00616B32"/>
    <w:rsid w:val="006A726B"/>
    <w:rsid w:val="006B3FDA"/>
    <w:rsid w:val="006E0065"/>
    <w:rsid w:val="00700BE0"/>
    <w:rsid w:val="00704242"/>
    <w:rsid w:val="00753258"/>
    <w:rsid w:val="007E2EAD"/>
    <w:rsid w:val="00812377"/>
    <w:rsid w:val="00812661"/>
    <w:rsid w:val="00853E2C"/>
    <w:rsid w:val="0088676D"/>
    <w:rsid w:val="008F0FA4"/>
    <w:rsid w:val="00902A82"/>
    <w:rsid w:val="00902AC3"/>
    <w:rsid w:val="00911C00"/>
    <w:rsid w:val="00946D62"/>
    <w:rsid w:val="00966110"/>
    <w:rsid w:val="00976391"/>
    <w:rsid w:val="00980892"/>
    <w:rsid w:val="009F1859"/>
    <w:rsid w:val="00A27B97"/>
    <w:rsid w:val="00A70E79"/>
    <w:rsid w:val="00A90619"/>
    <w:rsid w:val="00B05834"/>
    <w:rsid w:val="00B058E7"/>
    <w:rsid w:val="00B061E8"/>
    <w:rsid w:val="00B1412E"/>
    <w:rsid w:val="00B23F02"/>
    <w:rsid w:val="00B93665"/>
    <w:rsid w:val="00BF3E2D"/>
    <w:rsid w:val="00C51D7F"/>
    <w:rsid w:val="00DF5A28"/>
    <w:rsid w:val="00E00C59"/>
    <w:rsid w:val="00E97E55"/>
    <w:rsid w:val="00EE1106"/>
    <w:rsid w:val="00F43A57"/>
    <w:rsid w:val="00F652BE"/>
    <w:rsid w:val="00FA2275"/>
    <w:rsid w:val="00FD5AB8"/>
    <w:rsid w:val="00FE3E46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90C3"/>
  <w15:docId w15:val="{A4512338-9650-449F-A7E5-932C872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7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2739BC"/>
    <w:pPr>
      <w:keepNext/>
      <w:keepLines/>
      <w:spacing w:after="3" w:line="252" w:lineRule="auto"/>
      <w:ind w:left="27" w:hanging="10"/>
      <w:jc w:val="center"/>
      <w:outlineLvl w:val="1"/>
    </w:pPr>
    <w:rPr>
      <w:b/>
      <w:color w:val="000000"/>
      <w:sz w:val="21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A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A5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51D7F"/>
    <w:rPr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1D7F"/>
    <w:pPr>
      <w:ind w:left="720"/>
      <w:contextualSpacing/>
    </w:pPr>
    <w:rPr>
      <w:lang w:val="x-none" w:eastAsia="x-none"/>
    </w:rPr>
  </w:style>
  <w:style w:type="character" w:customStyle="1" w:styleId="NoSpacingChar">
    <w:name w:val="No Spacing Char"/>
    <w:link w:val="NoSpacing"/>
    <w:uiPriority w:val="1"/>
    <w:rsid w:val="00C51D7F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1D7F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95A24"/>
  </w:style>
  <w:style w:type="character" w:customStyle="1" w:styleId="Heading2Char">
    <w:name w:val="Heading 2 Char"/>
    <w:link w:val="Heading2"/>
    <w:uiPriority w:val="9"/>
    <w:rsid w:val="002739BC"/>
    <w:rPr>
      <w:b/>
      <w:color w:val="000000"/>
      <w:sz w:val="21"/>
      <w:szCs w:val="22"/>
      <w:lang w:val="en-US" w:eastAsia="en-US" w:bidi="ar-SA"/>
    </w:rPr>
  </w:style>
  <w:style w:type="paragraph" w:customStyle="1" w:styleId="Normal1">
    <w:name w:val="Normal 1"/>
    <w:basedOn w:val="Normal"/>
    <w:autoRedefine/>
    <w:qFormat/>
    <w:rsid w:val="0005332C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sz w:val="24"/>
      <w:szCs w:val="24"/>
      <w:lang w:val="sq-AL"/>
    </w:rPr>
  </w:style>
  <w:style w:type="character" w:styleId="CommentReference">
    <w:name w:val="annotation reference"/>
    <w:uiPriority w:val="99"/>
    <w:semiHidden/>
    <w:unhideWhenUsed/>
    <w:rsid w:val="00A9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61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906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6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0619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F43A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43A57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43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F43A57"/>
    <w:rPr>
      <w:sz w:val="22"/>
      <w:szCs w:val="22"/>
    </w:rPr>
  </w:style>
  <w:style w:type="paragraph" w:customStyle="1" w:styleId="Default">
    <w:name w:val="Default"/>
    <w:rsid w:val="000F1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ParagrafiChar">
    <w:name w:val="Paragrafi Char"/>
    <w:link w:val="Paragrafi"/>
    <w:rsid w:val="000F17A6"/>
    <w:rPr>
      <w:rFonts w:ascii="CG Times" w:hAnsi="CG Times"/>
      <w:lang w:val="sq-AL" w:eastAsia="sq-AL" w:bidi="ar-SA"/>
    </w:rPr>
  </w:style>
  <w:style w:type="paragraph" w:customStyle="1" w:styleId="Paragrafi">
    <w:name w:val="Paragrafi"/>
    <w:link w:val="ParagrafiChar"/>
    <w:rsid w:val="000F17A6"/>
    <w:pPr>
      <w:widowControl w:val="0"/>
      <w:ind w:firstLine="720"/>
      <w:jc w:val="both"/>
    </w:pPr>
    <w:rPr>
      <w:rFonts w:ascii="CG Times" w:hAnsi="CG Times"/>
      <w:lang w:val="sq-AL" w:eastAsia="sq-AL"/>
    </w:rPr>
  </w:style>
  <w:style w:type="paragraph" w:customStyle="1" w:styleId="xmsonormal">
    <w:name w:val="x_msonormal"/>
    <w:basedOn w:val="Normal"/>
    <w:rsid w:val="009661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E067-0F33-4071-9B5E-4EE50CE7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</Company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 Haska</dc:creator>
  <cp:lastModifiedBy>Stela</cp:lastModifiedBy>
  <cp:revision>4</cp:revision>
  <cp:lastPrinted>2023-09-08T08:59:00Z</cp:lastPrinted>
  <dcterms:created xsi:type="dcterms:W3CDTF">2019-01-14T09:56:00Z</dcterms:created>
  <dcterms:modified xsi:type="dcterms:W3CDTF">2024-10-07T09:49:00Z</dcterms:modified>
</cp:coreProperties>
</file>